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5C" w:rsidRPr="00F734B3" w:rsidRDefault="000A7A26" w:rsidP="000A7A26">
      <w:pPr>
        <w:spacing w:afterLines="50" w:after="156"/>
        <w:jc w:val="center"/>
        <w:rPr>
          <w:rFonts w:ascii="黑体" w:eastAsia="黑体" w:hAnsi="黑体"/>
          <w:b/>
          <w:bCs/>
          <w:sz w:val="36"/>
          <w:szCs w:val="36"/>
        </w:rPr>
      </w:pPr>
      <w:r w:rsidRPr="00F734B3">
        <w:rPr>
          <w:rFonts w:ascii="黑体" w:eastAsia="黑体" w:hAnsi="黑体" w:hint="eastAsia"/>
          <w:b/>
          <w:bCs/>
          <w:sz w:val="36"/>
          <w:szCs w:val="36"/>
        </w:rPr>
        <w:t>播音与主持</w:t>
      </w:r>
      <w:r w:rsidR="00F06771">
        <w:rPr>
          <w:rFonts w:ascii="黑体" w:eastAsia="黑体" w:hAnsi="黑体" w:hint="eastAsia"/>
          <w:b/>
          <w:bCs/>
          <w:sz w:val="36"/>
          <w:szCs w:val="36"/>
        </w:rPr>
        <w:t>艺术</w:t>
      </w:r>
      <w:r w:rsidRPr="00F734B3">
        <w:rPr>
          <w:rFonts w:ascii="黑体" w:eastAsia="黑体" w:hAnsi="黑体" w:hint="eastAsia"/>
          <w:b/>
          <w:bCs/>
          <w:sz w:val="36"/>
          <w:szCs w:val="36"/>
        </w:rPr>
        <w:t>专业</w:t>
      </w:r>
      <w:r w:rsidR="00F734B3" w:rsidRPr="00F734B3">
        <w:rPr>
          <w:rFonts w:ascii="黑体" w:eastAsia="黑体" w:hAnsi="黑体" w:hint="eastAsia"/>
          <w:b/>
          <w:bCs/>
          <w:sz w:val="36"/>
          <w:szCs w:val="36"/>
        </w:rPr>
        <w:t>职业适应性综合测试大纲</w:t>
      </w:r>
    </w:p>
    <w:p w:rsidR="00FA105C" w:rsidRDefault="000A7A26" w:rsidP="000A7A26">
      <w:pPr>
        <w:spacing w:afterLines="50" w:after="156" w:line="540" w:lineRule="exact"/>
        <w:ind w:firstLineChars="200" w:firstLine="560"/>
        <w:rPr>
          <w:sz w:val="24"/>
        </w:rPr>
      </w:pPr>
      <w:proofErr w:type="gramStart"/>
      <w:r w:rsidRPr="000A7A26">
        <w:rPr>
          <w:rFonts w:asciiTheme="minorEastAsia" w:eastAsiaTheme="minorEastAsia" w:hAnsiTheme="minorEastAsia" w:hint="eastAsia"/>
          <w:sz w:val="28"/>
          <w:szCs w:val="28"/>
        </w:rPr>
        <w:t>测试共</w:t>
      </w:r>
      <w:proofErr w:type="gramEnd"/>
      <w:r w:rsidRPr="000A7A26">
        <w:rPr>
          <w:rFonts w:asciiTheme="minorEastAsia" w:eastAsiaTheme="minorEastAsia" w:hAnsiTheme="minorEastAsia" w:hint="eastAsia"/>
          <w:sz w:val="28"/>
          <w:szCs w:val="28"/>
        </w:rPr>
        <w:t>两项内容，总分为 100 分，主要考查考生学习播音与主持</w:t>
      </w:r>
      <w:r w:rsidR="00F06771">
        <w:rPr>
          <w:rFonts w:asciiTheme="minorEastAsia" w:eastAsiaTheme="minorEastAsia" w:hAnsiTheme="minorEastAsia" w:hint="eastAsia"/>
          <w:sz w:val="28"/>
          <w:szCs w:val="28"/>
        </w:rPr>
        <w:t>艺术</w:t>
      </w:r>
      <w:r w:rsidRPr="000A7A26">
        <w:rPr>
          <w:rFonts w:asciiTheme="minorEastAsia" w:eastAsiaTheme="minorEastAsia" w:hAnsiTheme="minorEastAsia" w:hint="eastAsia"/>
          <w:sz w:val="28"/>
          <w:szCs w:val="28"/>
        </w:rPr>
        <w:t>专业应具备的基本专业素质和能力。具体为自备稿件展示（70分），才艺展示（30分）。</w:t>
      </w:r>
    </w:p>
    <w:tbl>
      <w:tblPr>
        <w:tblW w:w="13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077"/>
        <w:gridCol w:w="3523"/>
        <w:gridCol w:w="2339"/>
        <w:gridCol w:w="1701"/>
      </w:tblGrid>
      <w:tr w:rsidR="00FA105C" w:rsidTr="00F06771">
        <w:trPr>
          <w:trHeight w:val="766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C" w:rsidRDefault="000A7A26">
            <w:pPr>
              <w:pStyle w:val="a3"/>
              <w:spacing w:before="0" w:beforeAutospacing="0" w:after="0" w:afterAutospacing="0"/>
              <w:jc w:val="center"/>
              <w:rPr>
                <w:color w:val="333333"/>
                <w:szCs w:val="21"/>
              </w:rPr>
            </w:pPr>
            <w:r>
              <w:rPr>
                <w:rFonts w:hint="eastAsia"/>
                <w:b/>
                <w:bCs/>
                <w:color w:val="333333"/>
                <w:sz w:val="28"/>
                <w:szCs w:val="28"/>
              </w:rPr>
              <w:t>测试项目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5C" w:rsidRDefault="000A7A26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color w:val="333333"/>
                <w:szCs w:val="21"/>
              </w:rPr>
            </w:pPr>
            <w:r>
              <w:rPr>
                <w:rFonts w:hint="eastAsia"/>
                <w:b/>
                <w:bCs/>
                <w:color w:val="333333"/>
                <w:sz w:val="28"/>
                <w:szCs w:val="28"/>
              </w:rPr>
              <w:t>测试目的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5C" w:rsidRDefault="000A7A26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color w:val="333333"/>
                <w:szCs w:val="21"/>
              </w:rPr>
            </w:pPr>
            <w:r>
              <w:rPr>
                <w:rFonts w:hint="eastAsia"/>
                <w:b/>
                <w:bCs/>
                <w:color w:val="333333"/>
                <w:sz w:val="28"/>
                <w:szCs w:val="28"/>
              </w:rPr>
              <w:t>测试方法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5C" w:rsidRDefault="000A7A26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color w:val="333333"/>
                <w:szCs w:val="21"/>
              </w:rPr>
            </w:pPr>
            <w:r>
              <w:rPr>
                <w:rFonts w:hint="eastAsia"/>
                <w:b/>
                <w:bCs/>
                <w:color w:val="333333"/>
                <w:sz w:val="28"/>
                <w:szCs w:val="28"/>
              </w:rPr>
              <w:t>测试要求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5C" w:rsidRDefault="000A7A26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color w:val="333333"/>
                <w:szCs w:val="21"/>
              </w:rPr>
            </w:pPr>
            <w:proofErr w:type="gramStart"/>
            <w:r>
              <w:rPr>
                <w:rFonts w:hint="eastAsia"/>
                <w:b/>
                <w:bCs/>
                <w:color w:val="333333"/>
                <w:sz w:val="28"/>
                <w:szCs w:val="28"/>
              </w:rPr>
              <w:t>赋分参考</w:t>
            </w:r>
            <w:proofErr w:type="gramEnd"/>
          </w:p>
        </w:tc>
      </w:tr>
      <w:tr w:rsidR="00FA105C" w:rsidTr="00F06771">
        <w:trPr>
          <w:trHeight w:val="1856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C" w:rsidRPr="000A7A26" w:rsidRDefault="000A7A26">
            <w:pPr>
              <w:widowControl/>
              <w:jc w:val="center"/>
              <w:rPr>
                <w:rFonts w:ascii="楷体" w:eastAsia="楷体" w:hAnsi="楷体"/>
                <w:color w:val="333333"/>
                <w:kern w:val="0"/>
                <w:sz w:val="28"/>
                <w:szCs w:val="28"/>
              </w:rPr>
            </w:pPr>
            <w:r w:rsidRPr="000A7A26">
              <w:rPr>
                <w:rFonts w:ascii="楷体" w:eastAsia="楷体" w:hAnsi="楷体" w:hint="eastAsia"/>
                <w:color w:val="333333"/>
                <w:kern w:val="0"/>
                <w:sz w:val="28"/>
                <w:szCs w:val="28"/>
              </w:rPr>
              <w:t>1.自备稿件展示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5C" w:rsidRPr="000A7A26" w:rsidRDefault="000A7A26" w:rsidP="000A7A26">
            <w:pPr>
              <w:widowControl/>
              <w:snapToGrid w:val="0"/>
              <w:rPr>
                <w:rFonts w:ascii="楷体" w:eastAsia="楷体" w:hAnsi="楷体"/>
                <w:color w:val="333333"/>
                <w:kern w:val="0"/>
                <w:sz w:val="28"/>
                <w:szCs w:val="28"/>
              </w:rPr>
            </w:pPr>
            <w:r w:rsidRPr="000A7A26">
              <w:rPr>
                <w:rFonts w:ascii="楷体" w:eastAsia="楷体" w:hAnsi="楷体" w:hint="eastAsia"/>
                <w:color w:val="333333"/>
                <w:kern w:val="0"/>
                <w:sz w:val="28"/>
                <w:szCs w:val="28"/>
              </w:rPr>
              <w:t>重点考查考生的普通话标准程度、音质及语言表达能力和稿件创作能力。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5C" w:rsidRPr="000A7A26" w:rsidRDefault="000A7A26" w:rsidP="000A7A26">
            <w:pPr>
              <w:widowControl/>
              <w:snapToGrid w:val="0"/>
              <w:rPr>
                <w:rFonts w:ascii="楷体" w:eastAsia="楷体" w:hAnsi="楷体"/>
                <w:color w:val="333333"/>
                <w:kern w:val="0"/>
                <w:sz w:val="28"/>
                <w:szCs w:val="28"/>
              </w:rPr>
            </w:pPr>
            <w:r w:rsidRPr="000A7A26">
              <w:rPr>
                <w:rFonts w:ascii="楷体" w:eastAsia="楷体" w:hAnsi="楷体" w:hint="eastAsia"/>
                <w:color w:val="333333"/>
                <w:kern w:val="0"/>
                <w:sz w:val="28"/>
                <w:szCs w:val="28"/>
              </w:rPr>
              <w:t>考生自备一篇稿件进行展示。稿件内容自选（新闻播读，散文诗歌朗诵，赛事解说等均可）。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5C" w:rsidRPr="000A7A26" w:rsidRDefault="000A7A26">
            <w:pPr>
              <w:widowControl/>
              <w:rPr>
                <w:rFonts w:ascii="楷体" w:eastAsia="楷体" w:hAnsi="楷体"/>
                <w:color w:val="333333"/>
                <w:kern w:val="0"/>
                <w:sz w:val="28"/>
                <w:szCs w:val="28"/>
              </w:rPr>
            </w:pPr>
            <w:r w:rsidRPr="000A7A26">
              <w:rPr>
                <w:rFonts w:ascii="楷体" w:eastAsia="楷体" w:hAnsi="楷体" w:hint="eastAsia"/>
                <w:color w:val="333333"/>
                <w:kern w:val="0"/>
                <w:sz w:val="28"/>
                <w:szCs w:val="28"/>
              </w:rPr>
              <w:t>限时5分钟以内。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5C" w:rsidRPr="000A7A26" w:rsidRDefault="000A7A26">
            <w:pPr>
              <w:widowControl/>
              <w:jc w:val="center"/>
              <w:rPr>
                <w:rFonts w:ascii="楷体" w:eastAsia="楷体" w:hAnsi="楷体"/>
                <w:color w:val="333333"/>
                <w:kern w:val="0"/>
                <w:sz w:val="28"/>
                <w:szCs w:val="28"/>
              </w:rPr>
            </w:pPr>
            <w:r w:rsidRPr="000A7A26">
              <w:rPr>
                <w:rFonts w:ascii="楷体" w:eastAsia="楷体" w:hAnsi="楷体" w:hint="eastAsia"/>
                <w:color w:val="333333"/>
                <w:kern w:val="0"/>
                <w:sz w:val="28"/>
                <w:szCs w:val="28"/>
              </w:rPr>
              <w:t>70分</w:t>
            </w:r>
          </w:p>
        </w:tc>
      </w:tr>
      <w:tr w:rsidR="00FA105C" w:rsidTr="00F06771">
        <w:trPr>
          <w:trHeight w:val="169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C" w:rsidRPr="000A7A26" w:rsidRDefault="000A7A26">
            <w:pPr>
              <w:widowControl/>
              <w:jc w:val="center"/>
              <w:rPr>
                <w:rFonts w:ascii="楷体" w:eastAsia="楷体" w:hAnsi="楷体"/>
                <w:color w:val="333333"/>
                <w:kern w:val="0"/>
                <w:sz w:val="28"/>
                <w:szCs w:val="28"/>
              </w:rPr>
            </w:pPr>
            <w:r w:rsidRPr="000A7A26">
              <w:rPr>
                <w:rFonts w:ascii="楷体" w:eastAsia="楷体" w:hAnsi="楷体" w:hint="eastAsia"/>
                <w:color w:val="333333"/>
                <w:kern w:val="0"/>
                <w:sz w:val="28"/>
                <w:szCs w:val="28"/>
              </w:rPr>
              <w:t>2.才艺展示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5C" w:rsidRPr="000A7A26" w:rsidRDefault="000A7A26" w:rsidP="000A7A26">
            <w:pPr>
              <w:widowControl/>
              <w:snapToGrid w:val="0"/>
              <w:rPr>
                <w:rFonts w:ascii="楷体" w:eastAsia="楷体" w:hAnsi="楷体"/>
                <w:color w:val="333333"/>
                <w:kern w:val="0"/>
                <w:sz w:val="28"/>
                <w:szCs w:val="28"/>
              </w:rPr>
            </w:pPr>
            <w:r w:rsidRPr="000A7A26">
              <w:rPr>
                <w:rFonts w:ascii="楷体" w:eastAsia="楷体" w:hAnsi="楷体" w:hint="eastAsia"/>
                <w:color w:val="333333"/>
                <w:kern w:val="0"/>
                <w:sz w:val="28"/>
                <w:szCs w:val="28"/>
              </w:rPr>
              <w:t>综合考察考生的气质修养、上镜效果、着装举止等情况，并考查考生的综合才艺素质。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5C" w:rsidRPr="000A7A26" w:rsidRDefault="000A7A26" w:rsidP="000A7A26">
            <w:pPr>
              <w:widowControl/>
              <w:snapToGrid w:val="0"/>
              <w:jc w:val="left"/>
              <w:rPr>
                <w:rFonts w:ascii="楷体" w:eastAsia="楷体" w:hAnsi="楷体"/>
                <w:color w:val="333333"/>
                <w:kern w:val="0"/>
                <w:sz w:val="28"/>
                <w:szCs w:val="28"/>
              </w:rPr>
            </w:pPr>
            <w:r w:rsidRPr="000A7A26">
              <w:rPr>
                <w:rFonts w:ascii="楷体" w:eastAsia="楷体" w:hAnsi="楷体" w:hint="eastAsia"/>
                <w:color w:val="333333"/>
                <w:kern w:val="0"/>
                <w:sz w:val="28"/>
                <w:szCs w:val="28"/>
              </w:rPr>
              <w:t>考生自备非语言类才艺项目进行展示(内容健康积极)。形式不限。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5C" w:rsidRPr="000A7A26" w:rsidRDefault="000A7A26">
            <w:pPr>
              <w:widowControl/>
              <w:rPr>
                <w:rFonts w:ascii="楷体" w:eastAsia="楷体" w:hAnsi="楷体"/>
                <w:color w:val="333333"/>
                <w:kern w:val="0"/>
                <w:sz w:val="28"/>
                <w:szCs w:val="28"/>
              </w:rPr>
            </w:pPr>
            <w:r w:rsidRPr="000A7A26">
              <w:rPr>
                <w:rFonts w:ascii="楷体" w:eastAsia="楷体" w:hAnsi="楷体" w:hint="eastAsia"/>
                <w:color w:val="333333"/>
                <w:kern w:val="0"/>
                <w:sz w:val="28"/>
                <w:szCs w:val="28"/>
              </w:rPr>
              <w:t>限时3分钟以内。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5C" w:rsidRPr="000A7A26" w:rsidRDefault="000A7A26">
            <w:pPr>
              <w:widowControl/>
              <w:jc w:val="center"/>
              <w:rPr>
                <w:rFonts w:ascii="楷体" w:eastAsia="楷体" w:hAnsi="楷体"/>
                <w:color w:val="333333"/>
                <w:kern w:val="0"/>
                <w:sz w:val="28"/>
                <w:szCs w:val="28"/>
              </w:rPr>
            </w:pPr>
            <w:r w:rsidRPr="000A7A26">
              <w:rPr>
                <w:rFonts w:ascii="楷体" w:eastAsia="楷体" w:hAnsi="楷体" w:hint="eastAsia"/>
                <w:color w:val="333333"/>
                <w:kern w:val="0"/>
                <w:sz w:val="28"/>
                <w:szCs w:val="28"/>
              </w:rPr>
              <w:t>30分</w:t>
            </w:r>
          </w:p>
        </w:tc>
      </w:tr>
      <w:tr w:rsidR="00FA105C" w:rsidRPr="000A7A26" w:rsidTr="00F06771">
        <w:trPr>
          <w:trHeight w:val="1702"/>
          <w:jc w:val="center"/>
        </w:trPr>
        <w:tc>
          <w:tcPr>
            <w:tcW w:w="13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C" w:rsidRPr="00F06771" w:rsidRDefault="000A7A26" w:rsidP="000A7A26">
            <w:pPr>
              <w:spacing w:line="360" w:lineRule="exact"/>
              <w:rPr>
                <w:rFonts w:ascii="楷体" w:eastAsia="楷体" w:hAnsi="楷体"/>
                <w:sz w:val="24"/>
              </w:rPr>
            </w:pPr>
            <w:r w:rsidRPr="00F06771">
              <w:rPr>
                <w:rFonts w:ascii="楷体" w:eastAsia="楷体" w:hAnsi="楷体" w:hint="eastAsia"/>
                <w:sz w:val="24"/>
              </w:rPr>
              <w:t>相关要求：</w:t>
            </w:r>
          </w:p>
          <w:p w:rsidR="00FA105C" w:rsidRPr="00F06771" w:rsidRDefault="000A7A26" w:rsidP="000A7A26">
            <w:pPr>
              <w:spacing w:line="360" w:lineRule="exact"/>
              <w:rPr>
                <w:rFonts w:ascii="楷体" w:eastAsia="楷体" w:hAnsi="楷体"/>
                <w:sz w:val="24"/>
              </w:rPr>
            </w:pPr>
            <w:r w:rsidRPr="00F06771">
              <w:rPr>
                <w:rFonts w:ascii="楷体" w:eastAsia="楷体" w:hAnsi="楷体" w:hint="eastAsia"/>
                <w:sz w:val="24"/>
              </w:rPr>
              <w:t>1、着装：无任何标志的白色衬衫、深色下装；考生不得化妆，不得佩戴饰品。</w:t>
            </w:r>
          </w:p>
          <w:p w:rsidR="00FA105C" w:rsidRPr="00F06771" w:rsidRDefault="000A7A26" w:rsidP="000A7A26">
            <w:pPr>
              <w:spacing w:line="360" w:lineRule="exact"/>
              <w:rPr>
                <w:rFonts w:ascii="楷体" w:eastAsia="楷体" w:hAnsi="楷体"/>
                <w:sz w:val="24"/>
              </w:rPr>
            </w:pPr>
            <w:r w:rsidRPr="00F06771">
              <w:rPr>
                <w:rFonts w:ascii="楷体" w:eastAsia="楷体" w:hAnsi="楷体" w:hint="eastAsia"/>
                <w:sz w:val="24"/>
              </w:rPr>
              <w:t xml:space="preserve">2、才艺展示如需伴奏请自备播放设备(禁用手机播放)、器乐演奏请自备乐器。 </w:t>
            </w:r>
          </w:p>
          <w:p w:rsidR="00FA105C" w:rsidRDefault="000A7A26" w:rsidP="000A7A26">
            <w:pPr>
              <w:spacing w:line="360" w:lineRule="exact"/>
              <w:rPr>
                <w:rFonts w:ascii="宋体" w:hAnsi="宋体"/>
                <w:color w:val="333333"/>
                <w:kern w:val="0"/>
                <w:szCs w:val="21"/>
              </w:rPr>
            </w:pPr>
            <w:r w:rsidRPr="00F06771">
              <w:rPr>
                <w:rFonts w:ascii="楷体" w:eastAsia="楷体" w:hAnsi="楷体" w:hint="eastAsia"/>
                <w:sz w:val="24"/>
              </w:rPr>
              <w:t>3、考生现场测试独立完成，不得携带搭档。</w:t>
            </w:r>
          </w:p>
        </w:tc>
      </w:tr>
    </w:tbl>
    <w:p w:rsidR="00FA105C" w:rsidRDefault="00FA105C" w:rsidP="000A7A26"/>
    <w:sectPr w:rsidR="00FA105C" w:rsidSect="000A7A26">
      <w:pgSz w:w="16838" w:h="11906" w:orient="landscape"/>
      <w:pgMar w:top="1418" w:right="1418" w:bottom="1418" w:left="14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5MDIzYTRmY2NkNDQwMGZkNGRjNDgwMmRlZGNhODQifQ=="/>
  </w:docVars>
  <w:rsids>
    <w:rsidRoot w:val="0E82767C"/>
    <w:rsid w:val="000A7A26"/>
    <w:rsid w:val="00CA2EB5"/>
    <w:rsid w:val="00F06771"/>
    <w:rsid w:val="00F734B3"/>
    <w:rsid w:val="00FA105C"/>
    <w:rsid w:val="0E82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unhideWhenUsed/>
    <w:rsid w:val="000A7A2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unhideWhenUsed/>
    <w:rsid w:val="000A7A2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qzuser</dc:creator>
  <cp:lastModifiedBy>xtzj</cp:lastModifiedBy>
  <cp:revision>6</cp:revision>
  <dcterms:created xsi:type="dcterms:W3CDTF">2022-05-26T01:24:00Z</dcterms:created>
  <dcterms:modified xsi:type="dcterms:W3CDTF">2022-06-01T05:45:00Z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39FF24E52144479384759B5DFEBE7516</vt:lpwstr>
  </property>
</Properties>
</file>