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bCs/>
          <w:sz w:val="28"/>
          <w:szCs w:val="28"/>
        </w:rPr>
      </w:pPr>
      <w:bookmarkStart w:id="0" w:name="_GoBack"/>
      <w:r>
        <w:rPr>
          <w:b/>
          <w:bCs/>
          <w:sz w:val="28"/>
          <w:szCs w:val="28"/>
        </w:rPr>
        <w:t>2022年辽宁省高等职业教育对口升学考试</w:t>
      </w:r>
    </w:p>
    <w:p>
      <w:pPr>
        <w:spacing w:line="540" w:lineRule="exact"/>
        <w:jc w:val="center"/>
        <w:rPr>
          <w:b/>
          <w:bCs/>
          <w:sz w:val="28"/>
          <w:szCs w:val="28"/>
        </w:rPr>
      </w:pPr>
      <w:r>
        <w:rPr>
          <w:b/>
          <w:bCs/>
          <w:sz w:val="28"/>
          <w:szCs w:val="28"/>
        </w:rPr>
        <w:t>辽宁石油化工大学专业课程及专业技能考试安排</w:t>
      </w:r>
    </w:p>
    <w:p>
      <w:pPr>
        <w:pStyle w:val="35"/>
        <w:numPr>
          <w:ilvl w:val="0"/>
          <w:numId w:val="1"/>
        </w:numPr>
        <w:spacing w:line="480" w:lineRule="exact"/>
        <w:ind w:firstLineChars="0"/>
        <w:rPr>
          <w:sz w:val="24"/>
        </w:rPr>
      </w:pPr>
      <w:r>
        <w:rPr>
          <w:sz w:val="24"/>
        </w:rPr>
        <w:t>考试时间</w:t>
      </w:r>
    </w:p>
    <w:p>
      <w:pPr>
        <w:spacing w:line="480" w:lineRule="exact"/>
        <w:ind w:firstLine="480" w:firstLineChars="200"/>
        <w:rPr>
          <w:sz w:val="24"/>
        </w:rPr>
      </w:pPr>
      <w:r>
        <w:rPr>
          <w:sz w:val="24"/>
        </w:rPr>
        <w:t>专业综合课程考试：2022年6月2</w:t>
      </w:r>
      <w:r>
        <w:rPr>
          <w:rFonts w:hint="eastAsia"/>
          <w:sz w:val="24"/>
        </w:rPr>
        <w:t>2</w:t>
      </w:r>
      <w:r>
        <w:rPr>
          <w:sz w:val="24"/>
        </w:rPr>
        <w:t>日9:00</w:t>
      </w:r>
      <w:r>
        <w:rPr>
          <w:rFonts w:hint="eastAsia"/>
          <w:sz w:val="24"/>
        </w:rPr>
        <w:t>—</w:t>
      </w:r>
      <w:r>
        <w:rPr>
          <w:sz w:val="24"/>
        </w:rPr>
        <w:t>11:30</w:t>
      </w:r>
    </w:p>
    <w:p>
      <w:pPr>
        <w:spacing w:line="480" w:lineRule="exact"/>
        <w:ind w:firstLine="480" w:firstLineChars="200"/>
        <w:rPr>
          <w:sz w:val="24"/>
        </w:rPr>
      </w:pPr>
      <w:r>
        <w:rPr>
          <w:sz w:val="24"/>
        </w:rPr>
        <w:t>专业技能考试：2022年6月2</w:t>
      </w:r>
      <w:r>
        <w:rPr>
          <w:rFonts w:hint="eastAsia"/>
          <w:sz w:val="24"/>
        </w:rPr>
        <w:t>3</w:t>
      </w:r>
      <w:r>
        <w:rPr>
          <w:sz w:val="24"/>
        </w:rPr>
        <w:t>日7:30开始</w:t>
      </w:r>
    </w:p>
    <w:p>
      <w:pPr>
        <w:spacing w:line="480" w:lineRule="exact"/>
        <w:ind w:firstLine="480" w:firstLineChars="200"/>
        <w:rPr>
          <w:sz w:val="24"/>
        </w:rPr>
      </w:pPr>
      <w:r>
        <w:rPr>
          <w:sz w:val="24"/>
        </w:rPr>
        <w:t>准考证打印及成绩查询网址：</w:t>
      </w:r>
      <w:r>
        <w:fldChar w:fldCharType="begin"/>
      </w:r>
      <w:r>
        <w:instrText xml:space="preserve"> HYPERLINK "http://202.118.120.58" </w:instrText>
      </w:r>
      <w:r>
        <w:fldChar w:fldCharType="separate"/>
      </w:r>
      <w:r>
        <w:rPr>
          <w:rStyle w:val="11"/>
          <w:sz w:val="24"/>
        </w:rPr>
        <w:t>http://202.118.120.58</w:t>
      </w:r>
      <w:r>
        <w:rPr>
          <w:rStyle w:val="11"/>
          <w:sz w:val="24"/>
        </w:rPr>
        <w:fldChar w:fldCharType="end"/>
      </w:r>
    </w:p>
    <w:p>
      <w:pPr>
        <w:pStyle w:val="35"/>
        <w:numPr>
          <w:ilvl w:val="0"/>
          <w:numId w:val="1"/>
        </w:numPr>
        <w:spacing w:line="480" w:lineRule="exact"/>
        <w:ind w:firstLineChars="0"/>
        <w:rPr>
          <w:sz w:val="24"/>
        </w:rPr>
      </w:pPr>
      <w:r>
        <w:rPr>
          <w:sz w:val="24"/>
        </w:rPr>
        <w:t>考试地点</w:t>
      </w:r>
    </w:p>
    <w:p>
      <w:pPr>
        <w:pStyle w:val="35"/>
        <w:spacing w:line="480" w:lineRule="exact"/>
        <w:ind w:firstLine="480"/>
        <w:rPr>
          <w:sz w:val="24"/>
        </w:rPr>
      </w:pPr>
      <w:r>
        <w:rPr>
          <w:sz w:val="24"/>
        </w:rPr>
        <w:t>辽宁省抚顺市望花区丹东路西段一号，具体地点以准考证为准。</w:t>
      </w:r>
    </w:p>
    <w:p>
      <w:pPr>
        <w:spacing w:line="480" w:lineRule="exact"/>
        <w:rPr>
          <w:sz w:val="24"/>
        </w:rPr>
      </w:pPr>
      <w:r>
        <w:rPr>
          <w:sz w:val="24"/>
        </w:rPr>
        <w:t>三、考生须知</w:t>
      </w:r>
    </w:p>
    <w:p>
      <w:pPr>
        <w:spacing w:line="480" w:lineRule="exact"/>
        <w:ind w:firstLine="480" w:firstLineChars="200"/>
        <w:rPr>
          <w:sz w:val="24"/>
        </w:rPr>
      </w:pPr>
      <w:r>
        <w:rPr>
          <w:sz w:val="24"/>
        </w:rPr>
        <w:t>1. 考生要认真阅读</w:t>
      </w:r>
      <w:r>
        <w:rPr>
          <w:rFonts w:hint="eastAsia"/>
          <w:sz w:val="24"/>
        </w:rPr>
        <w:t>“</w:t>
      </w:r>
      <w:r>
        <w:rPr>
          <w:sz w:val="24"/>
        </w:rPr>
        <w:t>附件1：考生防疫安全须知及考点</w:t>
      </w:r>
      <w:r>
        <w:rPr>
          <w:rFonts w:hint="eastAsia"/>
          <w:sz w:val="24"/>
        </w:rPr>
        <w:t>准入</w:t>
      </w:r>
      <w:r>
        <w:rPr>
          <w:sz w:val="24"/>
        </w:rPr>
        <w:t>要求</w:t>
      </w:r>
      <w:r>
        <w:rPr>
          <w:rFonts w:hint="eastAsia"/>
          <w:sz w:val="24"/>
        </w:rPr>
        <w:t>”，</w:t>
      </w:r>
      <w:r>
        <w:rPr>
          <w:sz w:val="24"/>
        </w:rPr>
        <w:t>并严格遵守</w:t>
      </w:r>
      <w:r>
        <w:rPr>
          <w:rFonts w:hint="eastAsia"/>
          <w:sz w:val="24"/>
        </w:rPr>
        <w:t>。</w:t>
      </w:r>
    </w:p>
    <w:p>
      <w:pPr>
        <w:spacing w:line="480" w:lineRule="exact"/>
        <w:ind w:firstLine="480" w:firstLineChars="200"/>
        <w:rPr>
          <w:sz w:val="24"/>
        </w:rPr>
      </w:pPr>
      <w:r>
        <w:rPr>
          <w:sz w:val="24"/>
        </w:rPr>
        <w:t>2.6月2</w:t>
      </w:r>
      <w:r>
        <w:rPr>
          <w:rFonts w:hint="eastAsia"/>
          <w:sz w:val="24"/>
        </w:rPr>
        <w:t>2日</w:t>
      </w:r>
      <w:r>
        <w:rPr>
          <w:sz w:val="24"/>
        </w:rPr>
        <w:t>7:00-8:00持本人身份证</w:t>
      </w:r>
      <w:r>
        <w:rPr>
          <w:rFonts w:hint="eastAsia"/>
          <w:sz w:val="24"/>
        </w:rPr>
        <w:t>、准考证</w:t>
      </w:r>
      <w:r>
        <w:rPr>
          <w:sz w:val="24"/>
        </w:rPr>
        <w:t>到辽宁石油化工大学</w:t>
      </w:r>
      <w:r>
        <w:rPr>
          <w:rFonts w:hint="eastAsia"/>
          <w:sz w:val="24"/>
        </w:rPr>
        <w:t>东</w:t>
      </w:r>
      <w:r>
        <w:rPr>
          <w:sz w:val="24"/>
        </w:rPr>
        <w:t>门（望花大街与营口路交汇处）签到入校</w:t>
      </w:r>
      <w:r>
        <w:rPr>
          <w:rFonts w:hint="eastAsia"/>
          <w:sz w:val="24"/>
        </w:rPr>
        <w:t>。</w:t>
      </w:r>
    </w:p>
    <w:p>
      <w:pPr>
        <w:spacing w:line="480" w:lineRule="exact"/>
        <w:ind w:firstLine="480" w:firstLineChars="200"/>
        <w:rPr>
          <w:sz w:val="24"/>
        </w:rPr>
      </w:pPr>
      <w:r>
        <w:rPr>
          <w:sz w:val="24"/>
        </w:rPr>
        <w:t>3.参加考试必须携带准考证、身份证、计算器，技能考试要求学生穿着白大褂（自备）</w:t>
      </w:r>
      <w:r>
        <w:rPr>
          <w:rFonts w:hint="eastAsia"/>
          <w:sz w:val="24"/>
        </w:rPr>
        <w:t>。</w:t>
      </w:r>
    </w:p>
    <w:p>
      <w:pPr>
        <w:spacing w:line="480" w:lineRule="exact"/>
        <w:ind w:firstLine="480" w:firstLineChars="200"/>
        <w:rPr>
          <w:sz w:val="24"/>
        </w:rPr>
      </w:pPr>
      <w:r>
        <w:rPr>
          <w:sz w:val="24"/>
        </w:rPr>
        <w:t>4.专业技能考试前考生要准时到候考地点签到，候考集合时间、候考地点见准考证</w:t>
      </w:r>
      <w:r>
        <w:rPr>
          <w:rFonts w:hint="eastAsia"/>
          <w:sz w:val="24"/>
        </w:rPr>
        <w:t>。</w:t>
      </w:r>
    </w:p>
    <w:p>
      <w:pPr>
        <w:spacing w:line="480" w:lineRule="exact"/>
        <w:ind w:firstLine="480" w:firstLineChars="200"/>
        <w:rPr>
          <w:sz w:val="24"/>
        </w:rPr>
      </w:pPr>
      <w:r>
        <w:rPr>
          <w:sz w:val="24"/>
        </w:rPr>
        <w:t>5.专业综合课程考试考生迟到15分钟禁止进入考场，11:00前不得交卷，交卷出场后不得再进考场续考，也不得在考场附近逗留或交谈；技能</w:t>
      </w:r>
      <w:r>
        <w:rPr>
          <w:rFonts w:hint="eastAsia"/>
          <w:sz w:val="24"/>
        </w:rPr>
        <w:t>考试</w:t>
      </w:r>
      <w:r>
        <w:rPr>
          <w:sz w:val="24"/>
        </w:rPr>
        <w:t>迟到15分钟禁止进入考场。</w:t>
      </w:r>
    </w:p>
    <w:p>
      <w:pPr>
        <w:spacing w:line="480" w:lineRule="exact"/>
        <w:ind w:firstLine="480" w:firstLineChars="200"/>
        <w:rPr>
          <w:sz w:val="24"/>
        </w:rPr>
      </w:pPr>
      <w:r>
        <w:rPr>
          <w:sz w:val="24"/>
        </w:rPr>
        <w:t>6.如不遵守考场纪律，不服从考试工作人员管理，有违纪、作弊等行为的，将按照《国家教育考试违规处理办法》进行处理并将违规事实记入考生诚信考试电子档案</w:t>
      </w:r>
      <w:r>
        <w:rPr>
          <w:rFonts w:hint="eastAsia"/>
          <w:sz w:val="24"/>
        </w:rPr>
        <w:t>。</w:t>
      </w:r>
    </w:p>
    <w:p>
      <w:pPr>
        <w:spacing w:line="480" w:lineRule="exact"/>
        <w:ind w:firstLine="480" w:firstLineChars="200"/>
        <w:rPr>
          <w:sz w:val="24"/>
        </w:rPr>
      </w:pPr>
      <w:r>
        <w:rPr>
          <w:sz w:val="24"/>
        </w:rPr>
        <w:t>7.严禁携带各种通讯工具（如手机、无线接收设备等）进入考场，否则视为考试作弊</w:t>
      </w:r>
      <w:r>
        <w:rPr>
          <w:rFonts w:hint="eastAsia"/>
          <w:sz w:val="24"/>
        </w:rPr>
        <w:t>。</w:t>
      </w:r>
    </w:p>
    <w:p>
      <w:pPr>
        <w:spacing w:line="480" w:lineRule="exact"/>
        <w:ind w:firstLine="480" w:firstLineChars="200"/>
        <w:rPr>
          <w:sz w:val="24"/>
        </w:rPr>
      </w:pPr>
      <w:r>
        <w:rPr>
          <w:sz w:val="24"/>
        </w:rPr>
        <w:t>8.送考生的车辆及考生陪同人员不得进入校园，食宿及交通等费用自理</w:t>
      </w:r>
      <w:r>
        <w:rPr>
          <w:rFonts w:hint="eastAsia"/>
          <w:sz w:val="24"/>
        </w:rPr>
        <w:t>。</w:t>
      </w:r>
    </w:p>
    <w:p>
      <w:pPr>
        <w:spacing w:line="480" w:lineRule="exact"/>
        <w:ind w:firstLine="480" w:firstLineChars="200"/>
        <w:rPr>
          <w:sz w:val="24"/>
        </w:rPr>
      </w:pPr>
      <w:r>
        <w:rPr>
          <w:sz w:val="24"/>
        </w:rPr>
        <w:t>9.准考证打印及成绩查询网址</w:t>
      </w:r>
      <w:r>
        <w:fldChar w:fldCharType="begin"/>
      </w:r>
      <w:r>
        <w:instrText xml:space="preserve"> HYPERLINK "http://202.118.120.58" </w:instrText>
      </w:r>
      <w:r>
        <w:fldChar w:fldCharType="separate"/>
      </w:r>
      <w:r>
        <w:rPr>
          <w:rStyle w:val="11"/>
          <w:sz w:val="24"/>
        </w:rPr>
        <w:t>http://202.118.120.58</w:t>
      </w:r>
      <w:r>
        <w:rPr>
          <w:rStyle w:val="11"/>
          <w:sz w:val="24"/>
        </w:rPr>
        <w:fldChar w:fldCharType="end"/>
      </w:r>
      <w:r>
        <w:rPr>
          <w:sz w:val="24"/>
        </w:rPr>
        <w:t>。考生可于6月1</w:t>
      </w:r>
      <w:r>
        <w:rPr>
          <w:rFonts w:hint="eastAsia"/>
          <w:sz w:val="24"/>
        </w:rPr>
        <w:t>8</w:t>
      </w:r>
      <w:r>
        <w:rPr>
          <w:sz w:val="24"/>
        </w:rPr>
        <w:t>-2</w:t>
      </w:r>
      <w:r>
        <w:rPr>
          <w:rFonts w:hint="eastAsia"/>
          <w:sz w:val="24"/>
        </w:rPr>
        <w:t>2</w:t>
      </w:r>
      <w:r>
        <w:rPr>
          <w:sz w:val="24"/>
        </w:rPr>
        <w:t>日打印准考证，于6月27</w:t>
      </w:r>
      <w:r>
        <w:rPr>
          <w:rFonts w:hint="eastAsia"/>
          <w:sz w:val="24"/>
        </w:rPr>
        <w:t>-29</w:t>
      </w:r>
      <w:r>
        <w:rPr>
          <w:sz w:val="24"/>
        </w:rPr>
        <w:t>日查询考试成绩。如对考试成绩有疑义，可于</w:t>
      </w:r>
      <w:r>
        <w:rPr>
          <w:rFonts w:hint="eastAsia"/>
          <w:sz w:val="24"/>
        </w:rPr>
        <w:t>6月30日、</w:t>
      </w:r>
      <w:r>
        <w:rPr>
          <w:sz w:val="24"/>
        </w:rPr>
        <w:t>7月1日9:00-12:00向我校教务处（024</w:t>
      </w:r>
      <w:r>
        <w:rPr>
          <w:rFonts w:hint="eastAsia"/>
          <w:sz w:val="24"/>
        </w:rPr>
        <w:t>—</w:t>
      </w:r>
      <w:r>
        <w:rPr>
          <w:sz w:val="24"/>
        </w:rPr>
        <w:t>56860900）申请成绩复核</w:t>
      </w:r>
      <w:r>
        <w:rPr>
          <w:rFonts w:hint="eastAsia"/>
          <w:sz w:val="24"/>
        </w:rPr>
        <w:t>。</w:t>
      </w:r>
    </w:p>
    <w:p>
      <w:pPr>
        <w:spacing w:line="480" w:lineRule="exact"/>
        <w:ind w:firstLine="480" w:firstLineChars="200"/>
        <w:rPr>
          <w:sz w:val="24"/>
        </w:rPr>
      </w:pPr>
      <w:r>
        <w:rPr>
          <w:sz w:val="24"/>
        </w:rPr>
        <w:t>10.未尽事宜</w:t>
      </w:r>
      <w:r>
        <w:rPr>
          <w:rFonts w:hint="eastAsia"/>
          <w:sz w:val="24"/>
        </w:rPr>
        <w:t>，请</w:t>
      </w:r>
      <w:r>
        <w:rPr>
          <w:sz w:val="24"/>
        </w:rPr>
        <w:t>电话咨询：024</w:t>
      </w:r>
      <w:r>
        <w:rPr>
          <w:rFonts w:hint="eastAsia"/>
          <w:sz w:val="24"/>
        </w:rPr>
        <w:t>—</w:t>
      </w:r>
      <w:r>
        <w:rPr>
          <w:sz w:val="24"/>
        </w:rPr>
        <w:t>56860900。</w:t>
      </w:r>
    </w:p>
    <w:p>
      <w:pPr>
        <w:spacing w:line="480" w:lineRule="exact"/>
        <w:ind w:firstLine="480" w:firstLineChars="200"/>
        <w:rPr>
          <w:sz w:val="24"/>
        </w:rPr>
      </w:pPr>
    </w:p>
    <w:p>
      <w:pPr>
        <w:spacing w:line="480" w:lineRule="exact"/>
        <w:ind w:firstLine="4560" w:firstLineChars="1900"/>
        <w:jc w:val="right"/>
        <w:rPr>
          <w:sz w:val="24"/>
        </w:rPr>
      </w:pPr>
      <w:r>
        <w:rPr>
          <w:sz w:val="24"/>
        </w:rPr>
        <w:t>辽宁石油化工大学教务处</w:t>
      </w:r>
    </w:p>
    <w:p>
      <w:pPr>
        <w:spacing w:line="480" w:lineRule="exact"/>
        <w:ind w:firstLine="7560" w:firstLineChars="3150"/>
        <w:rPr>
          <w:sz w:val="24"/>
        </w:rPr>
      </w:pPr>
      <w:r>
        <w:rPr>
          <w:sz w:val="24"/>
        </w:rPr>
        <w:t>2022年6月</w:t>
      </w:r>
      <w:r>
        <w:rPr>
          <w:rFonts w:hint="eastAsia"/>
          <w:sz w:val="24"/>
        </w:rPr>
        <w:t>6</w:t>
      </w:r>
      <w:r>
        <w:rPr>
          <w:sz w:val="24"/>
        </w:rPr>
        <w:t>日</w:t>
      </w:r>
    </w:p>
    <w:bookmarkEnd w:id="0"/>
    <w:p>
      <w:pPr>
        <w:spacing w:line="480" w:lineRule="exact"/>
        <w:rPr>
          <w:sz w:val="24"/>
        </w:rPr>
        <w:sectPr>
          <w:pgSz w:w="11907" w:h="16840"/>
          <w:pgMar w:top="737" w:right="1021" w:bottom="737" w:left="1077" w:header="851" w:footer="992" w:gutter="0"/>
          <w:cols w:space="425" w:num="1"/>
          <w:docGrid w:type="lines" w:linePitch="312" w:charSpace="0"/>
        </w:sectPr>
      </w:pPr>
    </w:p>
    <w:p>
      <w:pPr>
        <w:spacing w:line="480" w:lineRule="exact"/>
        <w:rPr>
          <w:sz w:val="24"/>
        </w:rPr>
      </w:pPr>
      <w:r>
        <w:rPr>
          <w:color w:val="000000"/>
          <w:kern w:val="0"/>
          <w:sz w:val="24"/>
        </w:rPr>
        <w:t>附件1：</w:t>
      </w:r>
    </w:p>
    <w:p>
      <w:pPr>
        <w:pStyle w:val="36"/>
        <w:jc w:val="center"/>
        <w:rPr>
          <w:rFonts w:ascii="Times New Roman" w:eastAsia="宋体" w:cs="Times New Roman"/>
          <w:sz w:val="28"/>
          <w:szCs w:val="28"/>
        </w:rPr>
      </w:pPr>
      <w:r>
        <w:rPr>
          <w:rFonts w:ascii="Times New Roman" w:eastAsia="宋体" w:cs="Times New Roman"/>
          <w:sz w:val="28"/>
          <w:szCs w:val="28"/>
        </w:rPr>
        <w:t>考生防疫安全须知及考点</w:t>
      </w:r>
      <w:r>
        <w:rPr>
          <w:rFonts w:hint="eastAsia" w:ascii="Times New Roman" w:eastAsia="宋体" w:cs="Times New Roman"/>
          <w:sz w:val="28"/>
          <w:szCs w:val="28"/>
        </w:rPr>
        <w:t>准入</w:t>
      </w:r>
      <w:r>
        <w:rPr>
          <w:rFonts w:ascii="Times New Roman" w:eastAsia="宋体" w:cs="Times New Roman"/>
          <w:sz w:val="28"/>
          <w:szCs w:val="28"/>
        </w:rPr>
        <w:t>要求</w:t>
      </w:r>
    </w:p>
    <w:p>
      <w:pPr>
        <w:spacing w:line="480" w:lineRule="exact"/>
        <w:ind w:firstLine="480" w:firstLineChars="200"/>
        <w:rPr>
          <w:kern w:val="0"/>
          <w:sz w:val="24"/>
        </w:rPr>
      </w:pPr>
      <w:r>
        <w:rPr>
          <w:kern w:val="0"/>
          <w:sz w:val="24"/>
        </w:rPr>
        <w:t>一、考生防疫安全须知</w:t>
      </w:r>
    </w:p>
    <w:p>
      <w:pPr>
        <w:spacing w:line="480" w:lineRule="exact"/>
        <w:ind w:firstLine="480" w:firstLineChars="200"/>
        <w:rPr>
          <w:sz w:val="24"/>
        </w:rPr>
      </w:pPr>
      <w:r>
        <w:rPr>
          <w:kern w:val="0"/>
          <w:sz w:val="24"/>
        </w:rPr>
        <w:t>1</w:t>
      </w:r>
      <w:r>
        <w:rPr>
          <w:sz w:val="24"/>
        </w:rPr>
        <w:t>. 考生须及时关注抚顺疫情防控要求</w:t>
      </w:r>
      <w:r>
        <w:fldChar w:fldCharType="begin"/>
      </w:r>
      <w:r>
        <w:instrText xml:space="preserve"> HYPERLINK "http://fswjw.fushun.gov.cn/tfggsj/015002/moreinfo.html" </w:instrText>
      </w:r>
      <w:r>
        <w:fldChar w:fldCharType="separate"/>
      </w:r>
      <w:r>
        <w:rPr>
          <w:rStyle w:val="11"/>
          <w:sz w:val="24"/>
        </w:rPr>
        <w:t>http://fswjw.fushun.gov.cn/tfggsj/015002/moreinfo.html</w:t>
      </w:r>
      <w:r>
        <w:rPr>
          <w:rStyle w:val="11"/>
          <w:sz w:val="24"/>
        </w:rPr>
        <w:fldChar w:fldCharType="end"/>
      </w:r>
      <w:r>
        <w:rPr>
          <w:sz w:val="24"/>
        </w:rPr>
        <w:t>，按相关要求</w:t>
      </w:r>
      <w:r>
        <w:rPr>
          <w:rFonts w:hint="eastAsia"/>
          <w:sz w:val="24"/>
        </w:rPr>
        <w:t>提前</w:t>
      </w:r>
      <w:r>
        <w:rPr>
          <w:sz w:val="24"/>
        </w:rPr>
        <w:t>做好</w:t>
      </w:r>
      <w:r>
        <w:rPr>
          <w:rFonts w:hint="eastAsia"/>
          <w:sz w:val="24"/>
        </w:rPr>
        <w:t>来</w:t>
      </w:r>
      <w:r>
        <w:rPr>
          <w:sz w:val="24"/>
        </w:rPr>
        <w:t>（返）抚、疫情自查、核酸检测等防控措施，避免因疫情原因影响参加考试。特别提醒：目前抚顺市要求重点管控地区</w:t>
      </w:r>
      <w:r>
        <w:rPr>
          <w:rFonts w:hint="eastAsia"/>
          <w:sz w:val="24"/>
        </w:rPr>
        <w:t>来</w:t>
      </w:r>
      <w:r>
        <w:rPr>
          <w:sz w:val="24"/>
        </w:rPr>
        <w:t>（返）抚人员，实施 14 天集中隔离。</w:t>
      </w:r>
    </w:p>
    <w:p>
      <w:pPr>
        <w:spacing w:line="480" w:lineRule="exact"/>
        <w:ind w:firstLine="480" w:firstLineChars="200"/>
        <w:rPr>
          <w:sz w:val="24"/>
        </w:rPr>
      </w:pPr>
      <w:r>
        <w:rPr>
          <w:sz w:val="24"/>
        </w:rPr>
        <w:t>2. 做好健康状况监测。考生于考前 14 天起至考前 1 天（6月</w:t>
      </w:r>
      <w:r>
        <w:rPr>
          <w:rFonts w:hint="eastAsia"/>
          <w:sz w:val="24"/>
        </w:rPr>
        <w:t>8</w:t>
      </w:r>
      <w:r>
        <w:rPr>
          <w:sz w:val="24"/>
        </w:rPr>
        <w:t>日-2</w:t>
      </w:r>
      <w:r>
        <w:rPr>
          <w:rFonts w:hint="eastAsia"/>
          <w:sz w:val="24"/>
        </w:rPr>
        <w:t>1</w:t>
      </w:r>
      <w:r>
        <w:rPr>
          <w:sz w:val="24"/>
        </w:rPr>
        <w:t>日），每日体温测量、记录并进行健康状况监测</w:t>
      </w:r>
      <w:r>
        <w:rPr>
          <w:rFonts w:hint="eastAsia"/>
          <w:sz w:val="24"/>
        </w:rPr>
        <w:t>，</w:t>
      </w:r>
      <w:r>
        <w:rPr>
          <w:sz w:val="24"/>
        </w:rPr>
        <w:t>填写</w:t>
      </w:r>
      <w:r>
        <w:rPr>
          <w:rFonts w:hint="eastAsia"/>
          <w:sz w:val="24"/>
        </w:rPr>
        <w:t>“</w:t>
      </w:r>
      <w:r>
        <w:rPr>
          <w:sz w:val="24"/>
        </w:rPr>
        <w:t>附件</w:t>
      </w:r>
      <w:r>
        <w:rPr>
          <w:rFonts w:hint="eastAsia"/>
          <w:sz w:val="24"/>
        </w:rPr>
        <w:t>2:个人健康情况排查表”</w:t>
      </w:r>
      <w:r>
        <w:rPr>
          <w:sz w:val="24"/>
        </w:rPr>
        <w:t>，注意个人卫生，科学安排作息，加强饮食营养，保证以健康的状态、良好的心态参加考试。</w:t>
      </w:r>
    </w:p>
    <w:p>
      <w:pPr>
        <w:spacing w:line="480" w:lineRule="exact"/>
        <w:ind w:firstLine="480" w:firstLineChars="200"/>
        <w:rPr>
          <w:sz w:val="24"/>
        </w:rPr>
      </w:pPr>
      <w:r>
        <w:rPr>
          <w:sz w:val="24"/>
        </w:rPr>
        <w:t>3. 考生本人及家人考前尽量减少外出，避免走亲访友聚餐，尽量避免去人流密集的公共场所，考前严禁去疫情中高风险地区旅行。</w:t>
      </w:r>
    </w:p>
    <w:p>
      <w:pPr>
        <w:spacing w:line="480" w:lineRule="exact"/>
        <w:ind w:firstLine="480" w:firstLineChars="200"/>
        <w:rPr>
          <w:sz w:val="24"/>
        </w:rPr>
      </w:pPr>
      <w:r>
        <w:rPr>
          <w:sz w:val="24"/>
        </w:rPr>
        <w:t>4. 考生在知情同意自愿的前提下，应在考试前完成新冠病毒疫苗全程接种，做到</w:t>
      </w:r>
      <w:r>
        <w:rPr>
          <w:rFonts w:hint="eastAsia"/>
          <w:sz w:val="24"/>
        </w:rPr>
        <w:t>“</w:t>
      </w:r>
      <w:r>
        <w:rPr>
          <w:sz w:val="24"/>
        </w:rPr>
        <w:t>应接尽接</w:t>
      </w:r>
      <w:r>
        <w:rPr>
          <w:rFonts w:hint="eastAsia"/>
          <w:sz w:val="24"/>
        </w:rPr>
        <w:t>”</w:t>
      </w:r>
      <w:r>
        <w:rPr>
          <w:sz w:val="24"/>
        </w:rPr>
        <w:t>。符合接种条件的，建议接种</w:t>
      </w:r>
      <w:r>
        <w:rPr>
          <w:rFonts w:hint="eastAsia"/>
          <w:sz w:val="24"/>
        </w:rPr>
        <w:t>“</w:t>
      </w:r>
      <w:r>
        <w:rPr>
          <w:sz w:val="24"/>
        </w:rPr>
        <w:t>加强针</w:t>
      </w:r>
      <w:r>
        <w:rPr>
          <w:rFonts w:hint="eastAsia"/>
          <w:sz w:val="24"/>
        </w:rPr>
        <w:t>”</w:t>
      </w:r>
      <w:r>
        <w:rPr>
          <w:sz w:val="24"/>
        </w:rPr>
        <w:t>。</w:t>
      </w:r>
    </w:p>
    <w:p>
      <w:pPr>
        <w:spacing w:line="480" w:lineRule="exact"/>
        <w:ind w:firstLine="480" w:firstLineChars="200"/>
        <w:rPr>
          <w:sz w:val="24"/>
        </w:rPr>
      </w:pPr>
      <w:r>
        <w:rPr>
          <w:sz w:val="24"/>
        </w:rPr>
        <w:t>5. 考生应于考试日前 14 天完成</w:t>
      </w:r>
      <w:r>
        <w:rPr>
          <w:rFonts w:hint="eastAsia"/>
          <w:sz w:val="24"/>
        </w:rPr>
        <w:t>“</w:t>
      </w:r>
      <w:r>
        <w:rPr>
          <w:sz w:val="24"/>
        </w:rPr>
        <w:t>辽事通健康码</w:t>
      </w:r>
      <w:r>
        <w:rPr>
          <w:rFonts w:hint="eastAsia"/>
          <w:sz w:val="24"/>
        </w:rPr>
        <w:t>”</w:t>
      </w:r>
      <w:r>
        <w:rPr>
          <w:sz w:val="24"/>
        </w:rPr>
        <w:t>的申领(微信小程序或</w:t>
      </w:r>
      <w:r>
        <w:rPr>
          <w:rFonts w:hint="eastAsia"/>
          <w:sz w:val="24"/>
        </w:rPr>
        <w:t>“</w:t>
      </w:r>
      <w:r>
        <w:rPr>
          <w:sz w:val="24"/>
        </w:rPr>
        <w:t>辽事通</w:t>
      </w:r>
      <w:r>
        <w:rPr>
          <w:rFonts w:hint="eastAsia"/>
          <w:sz w:val="24"/>
        </w:rPr>
        <w:t>”</w:t>
      </w:r>
      <w:r>
        <w:rPr>
          <w:sz w:val="24"/>
        </w:rPr>
        <w:t>APP)，</w:t>
      </w:r>
      <w:r>
        <w:rPr>
          <w:rFonts w:hint="eastAsia"/>
          <w:sz w:val="24"/>
        </w:rPr>
        <w:t>并</w:t>
      </w:r>
      <w:r>
        <w:rPr>
          <w:sz w:val="24"/>
        </w:rPr>
        <w:t>自行验证</w:t>
      </w:r>
      <w:r>
        <w:rPr>
          <w:rFonts w:hint="eastAsia"/>
          <w:sz w:val="24"/>
        </w:rPr>
        <w:t>“</w:t>
      </w:r>
      <w:r>
        <w:rPr>
          <w:sz w:val="24"/>
        </w:rPr>
        <w:t>辽事通健康码</w:t>
      </w:r>
      <w:r>
        <w:rPr>
          <w:rFonts w:hint="eastAsia"/>
          <w:sz w:val="24"/>
        </w:rPr>
        <w:t>”</w:t>
      </w:r>
      <w:r>
        <w:rPr>
          <w:sz w:val="24"/>
        </w:rPr>
        <w:t>是否为绿码。同时，考生应于考试日前 14 天在微信中关注</w:t>
      </w:r>
      <w:r>
        <w:rPr>
          <w:rFonts w:hint="eastAsia"/>
          <w:sz w:val="24"/>
        </w:rPr>
        <w:t>“</w:t>
      </w:r>
      <w:r>
        <w:rPr>
          <w:sz w:val="24"/>
        </w:rPr>
        <w:t>通信大数据行程卡</w:t>
      </w:r>
      <w:r>
        <w:rPr>
          <w:rFonts w:hint="eastAsia"/>
          <w:sz w:val="24"/>
        </w:rPr>
        <w:t>”</w:t>
      </w:r>
      <w:r>
        <w:rPr>
          <w:sz w:val="24"/>
        </w:rPr>
        <w:t>小程序或在手机</w:t>
      </w:r>
      <w:r>
        <w:rPr>
          <w:rFonts w:hint="eastAsia"/>
          <w:sz w:val="24"/>
        </w:rPr>
        <w:t>“</w:t>
      </w:r>
      <w:r>
        <w:rPr>
          <w:sz w:val="24"/>
        </w:rPr>
        <w:t>应用商店</w:t>
      </w:r>
      <w:r>
        <w:rPr>
          <w:rFonts w:hint="eastAsia"/>
          <w:sz w:val="24"/>
        </w:rPr>
        <w:t>”</w:t>
      </w:r>
      <w:r>
        <w:rPr>
          <w:sz w:val="24"/>
        </w:rPr>
        <w:t>中下载安装</w:t>
      </w:r>
      <w:r>
        <w:rPr>
          <w:rFonts w:hint="eastAsia"/>
          <w:sz w:val="24"/>
        </w:rPr>
        <w:t>“</w:t>
      </w:r>
      <w:r>
        <w:rPr>
          <w:sz w:val="24"/>
        </w:rPr>
        <w:t>通信大数据行程卡 APP</w:t>
      </w:r>
      <w:r>
        <w:rPr>
          <w:rFonts w:hint="eastAsia"/>
          <w:sz w:val="24"/>
        </w:rPr>
        <w:t>”</w:t>
      </w:r>
      <w:r>
        <w:rPr>
          <w:sz w:val="24"/>
        </w:rPr>
        <w:t>，注册成功后，自行验证是否为绿码、无异常。考试当天考生到指定考点指定入口处验证通过后，方可允许参加考试。</w:t>
      </w:r>
    </w:p>
    <w:p>
      <w:pPr>
        <w:spacing w:line="480" w:lineRule="exact"/>
        <w:ind w:firstLine="480" w:firstLineChars="200"/>
        <w:rPr>
          <w:sz w:val="24"/>
        </w:rPr>
      </w:pPr>
      <w:r>
        <w:rPr>
          <w:sz w:val="24"/>
        </w:rPr>
        <w:t>6. 辽宁省内考生须提供由辽宁省内有资质的核酸检测机构出具的考前 48 小时内核酸阴性证明及间隔 24 小时以上由</w:t>
      </w:r>
      <w:r>
        <w:rPr>
          <w:rFonts w:hint="eastAsia"/>
          <w:sz w:val="24"/>
        </w:rPr>
        <w:t>抚顺市</w:t>
      </w:r>
      <w:r>
        <w:rPr>
          <w:sz w:val="24"/>
        </w:rPr>
        <w:t>有资质的核酸检测机构出具的考前 24 小时阴性证明（即从首场考试进入考点时间计算，倒推 48 和 24 小时，以采样时间为准，要求能明确显示核酸检测的时间和地点，如</w:t>
      </w:r>
      <w:r>
        <w:rPr>
          <w:rFonts w:hint="eastAsia"/>
          <w:sz w:val="24"/>
        </w:rPr>
        <w:t>抚顺市</w:t>
      </w:r>
      <w:r>
        <w:rPr>
          <w:sz w:val="24"/>
        </w:rPr>
        <w:t>有其他要求的以公告为准，并随时关注和执行</w:t>
      </w:r>
      <w:r>
        <w:rPr>
          <w:rFonts w:hint="eastAsia"/>
          <w:sz w:val="24"/>
        </w:rPr>
        <w:t>抚顺市</w:t>
      </w:r>
      <w:r>
        <w:rPr>
          <w:sz w:val="24"/>
        </w:rPr>
        <w:t>疫情防控要求，下同），2份核酸检测阴性证明均需纸质版。外省来（返）辽考生需持当地 48 小时内核酸检测阴性证明到抚顺市，到达抚顺市第一时间做一次核酸检测，取得阴性结果前不得随意流动，在抚顺市期间不得参加与考试无关的活动，考试前须出示入辽前 48 小时内核酸检测阴性证明和辽宁省内有资质的核酸检测机构出具的考前 48 小时内核酸阴性证明及间隔24 小时以上由</w:t>
      </w:r>
      <w:r>
        <w:rPr>
          <w:rFonts w:hint="eastAsia"/>
          <w:sz w:val="24"/>
        </w:rPr>
        <w:t>抚顺市</w:t>
      </w:r>
      <w:r>
        <w:rPr>
          <w:sz w:val="24"/>
        </w:rPr>
        <w:t>有资质的核酸检测机构出具的考前 24 小时核酸阴性证明参加考试。3 份核酸检测阴性证明均需纸质版。因不按规定提供核酸检测阴性证明及相关材料而产生的一切后果，由考生本人承担。</w:t>
      </w:r>
    </w:p>
    <w:p>
      <w:pPr>
        <w:spacing w:line="480" w:lineRule="exact"/>
        <w:ind w:firstLine="480" w:firstLineChars="200"/>
        <w:rPr>
          <w:sz w:val="24"/>
        </w:rPr>
      </w:pPr>
      <w:r>
        <w:rPr>
          <w:sz w:val="24"/>
        </w:rPr>
        <w:t>7. 考生赴考点出行时提前准备好N95口罩、手套、纸巾、速干手消毒剂等防护物资。如考生乘坐出租车或网约车赴考点，提前预约车辆，乘坐时在后排落座并全程佩戴口罩，下车后应及时做好手部卫生。如考生乘坐公共交通工具赴考点，全程佩戴口罩，可佩戴一次性手套，并做好手部卫生。途中尽量避免用手接触其他物品，与周围乘客尽可能保持安全距离。</w:t>
      </w:r>
    </w:p>
    <w:p>
      <w:pPr>
        <w:spacing w:line="480" w:lineRule="exact"/>
        <w:ind w:firstLine="480" w:firstLineChars="200"/>
        <w:rPr>
          <w:sz w:val="24"/>
        </w:rPr>
      </w:pPr>
      <w:r>
        <w:rPr>
          <w:sz w:val="24"/>
        </w:rPr>
        <w:t>8.送考车辆</w:t>
      </w:r>
      <w:r>
        <w:rPr>
          <w:rFonts w:hint="eastAsia"/>
          <w:sz w:val="24"/>
        </w:rPr>
        <w:t>须</w:t>
      </w:r>
      <w:r>
        <w:rPr>
          <w:sz w:val="24"/>
        </w:rPr>
        <w:t>远离校门停车，考生</w:t>
      </w:r>
      <w:r>
        <w:rPr>
          <w:rFonts w:hint="eastAsia"/>
          <w:sz w:val="24"/>
        </w:rPr>
        <w:t>须</w:t>
      </w:r>
      <w:r>
        <w:rPr>
          <w:sz w:val="24"/>
        </w:rPr>
        <w:t>步行进入考点，以缓解交通拥堵，保证应考时间。为避免考点人群聚集，考生陪同人员不允许进入校园及在校园周边活动。</w:t>
      </w:r>
    </w:p>
    <w:p>
      <w:pPr>
        <w:spacing w:line="480" w:lineRule="exact"/>
        <w:ind w:firstLine="480" w:firstLineChars="200"/>
        <w:rPr>
          <w:sz w:val="24"/>
        </w:rPr>
      </w:pPr>
      <w:r>
        <w:rPr>
          <w:sz w:val="24"/>
        </w:rPr>
        <w:t>9. 考生须依据考试时间提前到达考试地点</w:t>
      </w:r>
      <w:r>
        <w:rPr>
          <w:rFonts w:hint="eastAsia"/>
          <w:sz w:val="24"/>
        </w:rPr>
        <w:t>，</w:t>
      </w:r>
      <w:r>
        <w:rPr>
          <w:sz w:val="24"/>
        </w:rPr>
        <w:t>持身份证、准考证、个人健康情况排查表、2 份核酸检测阴性证明（省内考生）或 3 份核酸检测阴性证明（省外考生）进行验码和测量体温。考生须听从考试工作人员指挥，分散进入考点和考场楼，验证、验码进入考场。进退考场、</w:t>
      </w:r>
      <w:r>
        <w:rPr>
          <w:rFonts w:hint="eastAsia"/>
          <w:sz w:val="24"/>
        </w:rPr>
        <w:t>使用洗手间</w:t>
      </w:r>
      <w:r>
        <w:rPr>
          <w:sz w:val="24"/>
        </w:rPr>
        <w:t>时均须与他人保持 1 米以上距离，考生之间避免近距离接触交流。</w:t>
      </w:r>
    </w:p>
    <w:p>
      <w:pPr>
        <w:spacing w:line="480" w:lineRule="exact"/>
        <w:ind w:firstLine="480" w:firstLineChars="200"/>
        <w:rPr>
          <w:sz w:val="24"/>
        </w:rPr>
      </w:pPr>
      <w:r>
        <w:rPr>
          <w:sz w:val="24"/>
        </w:rPr>
        <w:t>10. 考生应如实、完整的填写《个人健康情况排查表》（附件 1），于考试当天进入考场时交给监考员。对于刻意隐瞒病情或者不如实报告发热史、旅行史和接触史的考生，以及在考试疫情防控中拒不配合的人员，将按照《治安管理处罚法》、《传染病防治法》和《关于依法惩治妨害新型冠状病毒感染肺炎疫情防控违法犯罪的意见》等法律法规予以处理。</w:t>
      </w:r>
    </w:p>
    <w:p>
      <w:pPr>
        <w:spacing w:line="480" w:lineRule="exact"/>
        <w:ind w:firstLine="480" w:firstLineChars="200"/>
        <w:rPr>
          <w:sz w:val="24"/>
        </w:rPr>
      </w:pPr>
      <w:r>
        <w:rPr>
          <w:sz w:val="24"/>
        </w:rPr>
        <w:t>11.</w:t>
      </w:r>
      <w:r>
        <w:rPr>
          <w:rFonts w:hint="eastAsia"/>
          <w:sz w:val="24"/>
        </w:rPr>
        <w:t xml:space="preserve"> </w:t>
      </w:r>
      <w:r>
        <w:rPr>
          <w:sz w:val="24"/>
        </w:rPr>
        <w:t>请考生入校前提前备好饮用水（校内不能购买）。</w:t>
      </w:r>
    </w:p>
    <w:p>
      <w:pPr>
        <w:spacing w:line="480" w:lineRule="exact"/>
        <w:ind w:firstLine="480" w:firstLineChars="200"/>
        <w:rPr>
          <w:sz w:val="24"/>
        </w:rPr>
      </w:pPr>
      <w:r>
        <w:rPr>
          <w:sz w:val="24"/>
        </w:rPr>
        <w:t>12. 请考生密切关注官网信息发布，若</w:t>
      </w:r>
      <w:r>
        <w:rPr>
          <w:rFonts w:hint="eastAsia"/>
          <w:sz w:val="24"/>
        </w:rPr>
        <w:t>抚顺</w:t>
      </w:r>
      <w:r>
        <w:rPr>
          <w:sz w:val="24"/>
        </w:rPr>
        <w:t>市疫情防控要求有变化，以最新公告为准。</w:t>
      </w:r>
    </w:p>
    <w:p>
      <w:pPr>
        <w:spacing w:line="480" w:lineRule="exact"/>
        <w:ind w:firstLine="480" w:firstLineChars="200"/>
        <w:rPr>
          <w:sz w:val="24"/>
        </w:rPr>
      </w:pPr>
      <w:r>
        <w:rPr>
          <w:sz w:val="24"/>
        </w:rPr>
        <w:t>二、考生入考点要求</w:t>
      </w:r>
    </w:p>
    <w:p>
      <w:pPr>
        <w:spacing w:line="480" w:lineRule="exact"/>
        <w:ind w:firstLine="480" w:firstLineChars="200"/>
        <w:rPr>
          <w:sz w:val="24"/>
        </w:rPr>
      </w:pPr>
      <w:r>
        <w:rPr>
          <w:sz w:val="24"/>
        </w:rPr>
        <w:t>为确保考生</w:t>
      </w:r>
      <w:r>
        <w:rPr>
          <w:rFonts w:hint="eastAsia"/>
          <w:sz w:val="24"/>
        </w:rPr>
        <w:t>的</w:t>
      </w:r>
      <w:r>
        <w:rPr>
          <w:sz w:val="24"/>
        </w:rPr>
        <w:t>健康安全</w:t>
      </w:r>
      <w:r>
        <w:rPr>
          <w:rFonts w:hint="eastAsia"/>
          <w:sz w:val="24"/>
        </w:rPr>
        <w:t>和</w:t>
      </w:r>
      <w:r>
        <w:rPr>
          <w:sz w:val="24"/>
        </w:rPr>
        <w:t>考试的平稳顺利进行，请考生严格执行</w:t>
      </w:r>
      <w:r>
        <w:rPr>
          <w:rFonts w:hint="eastAsia"/>
          <w:sz w:val="24"/>
        </w:rPr>
        <w:t>以下</w:t>
      </w:r>
      <w:r>
        <w:rPr>
          <w:sz w:val="24"/>
        </w:rPr>
        <w:t>进场要求：</w:t>
      </w:r>
    </w:p>
    <w:p>
      <w:pPr>
        <w:spacing w:line="480" w:lineRule="exact"/>
        <w:ind w:firstLine="480" w:firstLineChars="200"/>
        <w:rPr>
          <w:sz w:val="24"/>
        </w:rPr>
      </w:pPr>
      <w:r>
        <w:rPr>
          <w:sz w:val="24"/>
        </w:rPr>
        <w:t>1. 考生须依据考试时间提前到达考试地点进行入场验证。所有考生进入考点时应佩戴N95口罩，现场出示：（1）本人有效身份证件原件；（2）纸质考试准考证；（3）2 份</w:t>
      </w:r>
      <w:r>
        <w:rPr>
          <w:rFonts w:hint="eastAsia"/>
          <w:sz w:val="24"/>
        </w:rPr>
        <w:t>纸质版</w:t>
      </w:r>
      <w:r>
        <w:rPr>
          <w:sz w:val="24"/>
        </w:rPr>
        <w:t>核酸检测阴性证明（省内考生）或 3 份</w:t>
      </w:r>
      <w:r>
        <w:rPr>
          <w:rFonts w:hint="eastAsia"/>
          <w:sz w:val="24"/>
        </w:rPr>
        <w:t>纸质版</w:t>
      </w:r>
      <w:r>
        <w:rPr>
          <w:sz w:val="24"/>
        </w:rPr>
        <w:t>核酸检测阴性证明（省外考生）；（4）</w:t>
      </w:r>
      <w:r>
        <w:rPr>
          <w:rFonts w:hint="eastAsia"/>
          <w:sz w:val="24"/>
        </w:rPr>
        <w:t>“</w:t>
      </w:r>
      <w:r>
        <w:rPr>
          <w:sz w:val="24"/>
        </w:rPr>
        <w:t>辽事通健康码</w:t>
      </w:r>
      <w:r>
        <w:rPr>
          <w:rFonts w:hint="eastAsia"/>
          <w:sz w:val="24"/>
        </w:rPr>
        <w:t>”</w:t>
      </w:r>
      <w:r>
        <w:rPr>
          <w:sz w:val="24"/>
        </w:rPr>
        <w:t>（绿码）；（5）</w:t>
      </w:r>
      <w:r>
        <w:rPr>
          <w:rFonts w:hint="eastAsia"/>
          <w:sz w:val="24"/>
        </w:rPr>
        <w:t>“</w:t>
      </w:r>
      <w:r>
        <w:rPr>
          <w:sz w:val="24"/>
        </w:rPr>
        <w:t>通信大数据行程卡</w:t>
      </w:r>
      <w:r>
        <w:rPr>
          <w:rFonts w:hint="eastAsia"/>
          <w:sz w:val="24"/>
        </w:rPr>
        <w:t>”</w:t>
      </w:r>
      <w:r>
        <w:rPr>
          <w:sz w:val="24"/>
        </w:rPr>
        <w:t>（绿码、无异常）；（6）《个人健康情况排查表》</w:t>
      </w:r>
      <w:r>
        <w:rPr>
          <w:rFonts w:hint="eastAsia"/>
          <w:sz w:val="24"/>
        </w:rPr>
        <w:t>。</w:t>
      </w:r>
      <w:r>
        <w:rPr>
          <w:sz w:val="24"/>
        </w:rPr>
        <w:t>并配合工作人员接受体温检测（体温低于 37.3°C）方可进入考点，否则不得参加考试。如发现体温异常（≥37.3°C），需现场进行体温复测。</w:t>
      </w:r>
    </w:p>
    <w:p>
      <w:pPr>
        <w:spacing w:line="480" w:lineRule="exact"/>
        <w:ind w:firstLine="480" w:firstLineChars="200"/>
        <w:rPr>
          <w:sz w:val="24"/>
        </w:rPr>
      </w:pPr>
      <w:r>
        <w:rPr>
          <w:sz w:val="24"/>
        </w:rPr>
        <w:t>2. 考生进入考点、考场时</w:t>
      </w:r>
      <w:r>
        <w:rPr>
          <w:rFonts w:hint="eastAsia"/>
          <w:sz w:val="24"/>
        </w:rPr>
        <w:t>须</w:t>
      </w:r>
      <w:r>
        <w:rPr>
          <w:sz w:val="24"/>
        </w:rPr>
        <w:t>全程佩戴 N95口罩，但不得因为佩戴口罩影响身份识别。考试期间除进行身份识别以外，须全程佩戴 N95口罩。</w:t>
      </w:r>
    </w:p>
    <w:p>
      <w:pPr>
        <w:spacing w:line="480" w:lineRule="exact"/>
        <w:ind w:firstLine="480" w:firstLineChars="200"/>
        <w:rPr>
          <w:sz w:val="24"/>
        </w:rPr>
      </w:pPr>
      <w:r>
        <w:rPr>
          <w:sz w:val="24"/>
        </w:rPr>
        <w:t>3. 考生进入考点报到后不得随意离开。考生须听从考试工作人员指挥，分散进入考点和考场，考生之间避免近距离接触交流。</w:t>
      </w:r>
    </w:p>
    <w:p>
      <w:pPr>
        <w:spacing w:line="480" w:lineRule="exact"/>
        <w:ind w:firstLine="480" w:firstLineChars="200"/>
        <w:rPr>
          <w:sz w:val="24"/>
        </w:rPr>
      </w:pPr>
      <w:r>
        <w:rPr>
          <w:sz w:val="24"/>
        </w:rPr>
        <w:t>4. 考试结束时，考生须按监考员的指令，有序错峰离场，不得拥挤，保持人员间距，不得在考场内滞留。</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r>
        <w:rPr>
          <w:rFonts w:hint="eastAsia"/>
          <w:sz w:val="24"/>
        </w:rPr>
        <w:t>附件2：</w:t>
      </w:r>
    </w:p>
    <w:p>
      <w:pPr>
        <w:widowControl/>
        <w:snapToGrid w:val="0"/>
        <w:spacing w:afterLines="8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个人健康情况排查表</w:t>
      </w:r>
    </w:p>
    <w:p>
      <w:pPr>
        <w:tabs>
          <w:tab w:val="left" w:pos="1978"/>
          <w:tab w:val="left" w:pos="4913"/>
          <w:tab w:val="left" w:pos="10390"/>
        </w:tabs>
        <w:snapToGrid w:val="0"/>
        <w:spacing w:afterLines="50"/>
        <w:rPr>
          <w:rFonts w:ascii="方正楷体_GBK" w:hAnsi="楷体" w:eastAsia="方正楷体_GBK" w:cs="黑体"/>
          <w:color w:val="000000"/>
          <w:spacing w:val="-3"/>
          <w:u w:val="single"/>
        </w:rPr>
      </w:pPr>
      <w:r>
        <w:rPr>
          <w:rFonts w:hint="eastAsia" w:ascii="方正楷体_GBK" w:hAnsi="楷体" w:eastAsia="方正楷体_GBK" w:cs="黑体"/>
          <w:color w:val="000000"/>
          <w:spacing w:val="-3"/>
        </w:rPr>
        <w:t>姓</w:t>
      </w:r>
      <w:r>
        <w:rPr>
          <w:rFonts w:hint="eastAsia" w:ascii="方正楷体_GBK" w:hAnsi="楷体" w:eastAsia="方正楷体_GBK" w:cs="黑体"/>
          <w:color w:val="000000"/>
        </w:rPr>
        <w:t>名：</w:t>
      </w:r>
      <w:r>
        <w:rPr>
          <w:rFonts w:ascii="方正楷体_GBK" w:hAnsi="楷体" w:eastAsia="方正楷体_GBK" w:cs="黑体"/>
          <w:color w:val="000000"/>
          <w:u w:val="single"/>
        </w:rPr>
        <w:t xml:space="preserve">              </w:t>
      </w:r>
      <w:r>
        <w:rPr>
          <w:rFonts w:ascii="方正楷体_GBK" w:hAnsi="楷体" w:eastAsia="方正楷体_GBK" w:cs="黑体"/>
          <w:color w:val="000000"/>
        </w:rPr>
        <w:t xml:space="preserve">  </w:t>
      </w:r>
      <w:r>
        <w:rPr>
          <w:rFonts w:hint="eastAsia" w:ascii="方正楷体_GBK" w:hAnsi="楷体" w:eastAsia="方正楷体_GBK" w:cs="黑体"/>
          <w:color w:val="000000"/>
          <w:spacing w:val="-3"/>
        </w:rPr>
        <w:t>体温</w:t>
      </w:r>
      <w:r>
        <w:rPr>
          <w:rFonts w:hint="eastAsia" w:ascii="方正楷体_GBK" w:hAnsi="楷体" w:eastAsia="方正楷体_GBK" w:cs="黑体"/>
          <w:color w:val="000000"/>
        </w:rPr>
        <w:t>：</w:t>
      </w:r>
      <w:r>
        <w:rPr>
          <w:rFonts w:ascii="方正楷体_GBK" w:hAnsi="楷体" w:eastAsia="方正楷体_GBK" w:cs="黑体"/>
          <w:color w:val="000000"/>
          <w:u w:val="single"/>
        </w:rPr>
        <w:t xml:space="preserve">        </w:t>
      </w:r>
      <w:r>
        <w:rPr>
          <w:rFonts w:ascii="方正楷体_GBK" w:hAnsi="楷体" w:eastAsia="方正楷体_GBK" w:cs="黑体"/>
          <w:color w:val="000000"/>
        </w:rPr>
        <w:t xml:space="preserve">  </w:t>
      </w:r>
      <w:r>
        <w:rPr>
          <w:rFonts w:hint="eastAsia" w:ascii="方正楷体_GBK" w:hAnsi="楷体" w:eastAsia="方正楷体_GBK" w:cs="黑体"/>
          <w:color w:val="000000"/>
        </w:rPr>
        <w:t>电话</w:t>
      </w:r>
      <w:r>
        <w:rPr>
          <w:rFonts w:hint="eastAsia" w:ascii="方正楷体_GBK" w:hAnsi="楷体" w:eastAsia="方正楷体_GBK" w:cs="黑体"/>
          <w:color w:val="000000"/>
          <w:spacing w:val="-3"/>
        </w:rPr>
        <w:t>：</w:t>
      </w:r>
      <w:r>
        <w:rPr>
          <w:rFonts w:ascii="方正楷体_GBK" w:hAnsi="楷体" w:eastAsia="方正楷体_GBK" w:cs="黑体"/>
          <w:color w:val="000000"/>
          <w:u w:val="single"/>
        </w:rPr>
        <w:t xml:space="preserve">                </w:t>
      </w:r>
    </w:p>
    <w:p>
      <w:pPr>
        <w:tabs>
          <w:tab w:val="left" w:pos="5600"/>
          <w:tab w:val="left" w:pos="5630"/>
          <w:tab w:val="left" w:pos="10672"/>
        </w:tabs>
        <w:snapToGrid w:val="0"/>
        <w:spacing w:afterLines="50"/>
        <w:rPr>
          <w:rFonts w:ascii="方正楷体_GBK" w:hAnsi="楷体" w:eastAsia="方正楷体_GBK" w:cs="黑体"/>
          <w:color w:val="000000"/>
          <w:u w:val="single"/>
        </w:rPr>
      </w:pPr>
      <w:r>
        <w:rPr>
          <w:rFonts w:hint="eastAsia" w:ascii="方正楷体_GBK" w:hAnsi="楷体" w:eastAsia="方正楷体_GBK" w:cs="黑体"/>
          <w:color w:val="000000"/>
        </w:rPr>
        <w:t>学校（单位）：</w:t>
      </w:r>
      <w:r>
        <w:rPr>
          <w:rFonts w:ascii="方正楷体_GBK" w:hAnsi="楷体" w:eastAsia="方正楷体_GBK" w:cs="黑体"/>
          <w:color w:val="000000"/>
          <w:u w:val="single"/>
        </w:rPr>
        <w:t xml:space="preserve">                       </w:t>
      </w:r>
      <w:r>
        <w:rPr>
          <w:rFonts w:ascii="方正楷体_GBK" w:hAnsi="楷体" w:eastAsia="方正楷体_GBK" w:cs="黑体"/>
          <w:color w:val="000000"/>
        </w:rPr>
        <w:t xml:space="preserve"> </w:t>
      </w:r>
      <w:r>
        <w:rPr>
          <w:rFonts w:hint="eastAsia" w:ascii="方正楷体_GBK" w:hAnsi="楷体" w:eastAsia="方正楷体_GBK" w:cs="黑体"/>
          <w:color w:val="000000"/>
        </w:rPr>
        <w:t>职业（职务）：</w:t>
      </w:r>
      <w:r>
        <w:rPr>
          <w:rFonts w:ascii="方正楷体_GBK" w:hAnsi="楷体" w:eastAsia="方正楷体_GBK" w:cs="黑体"/>
          <w:color w:val="000000"/>
          <w:u w:val="single"/>
        </w:rPr>
        <w:t xml:space="preserve">       </w:t>
      </w:r>
      <w:r>
        <w:rPr>
          <w:rFonts w:hint="eastAsia" w:ascii="方正楷体_GBK" w:hAnsi="楷体" w:eastAsia="方正楷体_GBK" w:cs="黑体"/>
          <w:color w:val="000000"/>
          <w:u w:val="single"/>
        </w:rPr>
        <w:t xml:space="preserve">  </w:t>
      </w:r>
      <w:r>
        <w:rPr>
          <w:rFonts w:ascii="方正楷体_GBK" w:hAnsi="楷体" w:eastAsia="方正楷体_GBK" w:cs="黑体"/>
          <w:color w:val="000000"/>
          <w:u w:val="single"/>
        </w:rPr>
        <w:t xml:space="preserve">        </w:t>
      </w:r>
    </w:p>
    <w:p>
      <w:pPr>
        <w:tabs>
          <w:tab w:val="left" w:pos="6960"/>
          <w:tab w:val="left" w:pos="10672"/>
        </w:tabs>
        <w:snapToGrid w:val="0"/>
        <w:spacing w:afterLines="50"/>
        <w:rPr>
          <w:rFonts w:ascii="方正楷体_GBK" w:hAnsi="楷体" w:eastAsia="方正楷体_GBK" w:cs="宋体"/>
          <w:b/>
          <w:bCs/>
          <w:color w:val="000000"/>
          <w:kern w:val="0"/>
          <w:lang w:val="zh-CN"/>
        </w:rPr>
      </w:pPr>
      <w:r>
        <w:rPr>
          <w:rFonts w:hint="eastAsia" w:ascii="方正楷体_GBK" w:hAnsi="楷体" w:eastAsia="方正楷体_GBK" w:cs="黑体"/>
          <w:color w:val="000000"/>
        </w:rPr>
        <w:t>现居住地址（</w:t>
      </w:r>
      <w:r>
        <w:rPr>
          <w:rFonts w:hint="eastAsia" w:ascii="方正楷体_GBK" w:hAnsi="楷体" w:eastAsia="方正楷体_GBK" w:cs="黑体"/>
          <w:color w:val="000000"/>
          <w:spacing w:val="-3"/>
        </w:rPr>
        <w:t>具</w:t>
      </w:r>
      <w:r>
        <w:rPr>
          <w:rFonts w:hint="eastAsia" w:ascii="方正楷体_GBK" w:hAnsi="楷体" w:eastAsia="方正楷体_GBK" w:cs="黑体"/>
          <w:color w:val="000000"/>
        </w:rPr>
        <w:t>体</w:t>
      </w:r>
      <w:r>
        <w:rPr>
          <w:rFonts w:hint="eastAsia" w:ascii="方正楷体_GBK" w:hAnsi="楷体" w:eastAsia="方正楷体_GBK" w:cs="黑体"/>
          <w:color w:val="000000"/>
          <w:spacing w:val="-3"/>
        </w:rPr>
        <w:t>到</w:t>
      </w:r>
      <w:r>
        <w:rPr>
          <w:rFonts w:hint="eastAsia" w:ascii="方正楷体_GBK" w:hAnsi="楷体" w:eastAsia="方正楷体_GBK" w:cs="黑体"/>
          <w:color w:val="000000"/>
        </w:rPr>
        <w:t>门</w:t>
      </w:r>
      <w:r>
        <w:rPr>
          <w:rFonts w:hint="eastAsia" w:ascii="方正楷体_GBK" w:hAnsi="楷体" w:eastAsia="方正楷体_GBK" w:cs="黑体"/>
          <w:color w:val="000000"/>
          <w:spacing w:val="-3"/>
        </w:rPr>
        <w:t>牌</w:t>
      </w:r>
      <w:r>
        <w:rPr>
          <w:rFonts w:hint="eastAsia" w:ascii="方正楷体_GBK" w:hAnsi="楷体" w:eastAsia="方正楷体_GBK" w:cs="黑体"/>
          <w:color w:val="000000"/>
        </w:rPr>
        <w:t>号</w:t>
      </w:r>
      <w:r>
        <w:rPr>
          <w:rFonts w:hint="eastAsia" w:ascii="方正楷体_GBK" w:hAnsi="楷体" w:eastAsia="方正楷体_GBK" w:cs="黑体"/>
          <w:color w:val="000000"/>
          <w:spacing w:val="-3"/>
        </w:rPr>
        <w:t>）：</w:t>
      </w:r>
      <w:r>
        <w:rPr>
          <w:rFonts w:ascii="方正楷体_GBK" w:hAnsi="楷体" w:eastAsia="方正楷体_GBK" w:cs="黑体"/>
          <w:color w:val="000000"/>
          <w:u w:val="single"/>
        </w:rPr>
        <w:t xml:space="preserve">                                 </w:t>
      </w:r>
      <w:r>
        <w:rPr>
          <w:rFonts w:ascii="方正楷体_GBK" w:hAnsi="楷体" w:eastAsia="方正楷体_GBK" w:cs="黑体"/>
          <w:color w:val="000000"/>
        </w:rPr>
        <w:t xml:space="preserve"> </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4"/>
        <w:gridCol w:w="1161"/>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693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黑体" w:hAnsi="黑体" w:eastAsia="黑体" w:cs="仿宋"/>
                <w:kern w:val="0"/>
                <w:sz w:val="24"/>
                <w:szCs w:val="28"/>
                <w:lang w:bidi="zh-CN"/>
              </w:rPr>
            </w:pPr>
            <w:r>
              <w:rPr>
                <w:rFonts w:hint="eastAsia" w:ascii="黑体" w:hAnsi="黑体" w:eastAsia="黑体" w:cs="仿宋"/>
                <w:kern w:val="0"/>
                <w:sz w:val="24"/>
                <w:szCs w:val="28"/>
                <w:lang w:bidi="zh-CN"/>
              </w:rPr>
              <w:t>有关情况</w:t>
            </w:r>
          </w:p>
        </w:tc>
        <w:tc>
          <w:tcPr>
            <w:tcW w:w="1161"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黑体" w:hAnsi="黑体" w:eastAsia="黑体" w:cs="仿宋"/>
                <w:kern w:val="0"/>
                <w:sz w:val="24"/>
                <w:szCs w:val="28"/>
                <w:lang w:val="zh-CN" w:bidi="zh-CN"/>
              </w:rPr>
            </w:pPr>
            <w:r>
              <w:rPr>
                <w:rFonts w:hint="eastAsia" w:ascii="黑体" w:hAnsi="黑体" w:eastAsia="黑体" w:cs="仿宋"/>
                <w:kern w:val="0"/>
                <w:sz w:val="24"/>
                <w:szCs w:val="28"/>
                <w:lang w:val="zh-CN" w:bidi="zh-CN"/>
              </w:rPr>
              <w:t>本人</w:t>
            </w:r>
          </w:p>
        </w:tc>
        <w:tc>
          <w:tcPr>
            <w:tcW w:w="108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黑体" w:hAnsi="黑体" w:eastAsia="黑体" w:cs="仿宋"/>
                <w:kern w:val="0"/>
                <w:sz w:val="24"/>
                <w:szCs w:val="28"/>
                <w:lang w:val="zh-CN" w:bidi="zh-CN"/>
              </w:rPr>
            </w:pPr>
            <w:r>
              <w:rPr>
                <w:rFonts w:hint="eastAsia" w:ascii="黑体" w:hAnsi="黑体" w:eastAsia="黑体" w:cs="仿宋"/>
                <w:kern w:val="0"/>
                <w:sz w:val="24"/>
                <w:szCs w:val="28"/>
                <w:lang w:val="zh-CN" w:bidi="zh-CN"/>
              </w:rPr>
              <w:t>共同居</w:t>
            </w:r>
          </w:p>
          <w:p>
            <w:pPr>
              <w:snapToGrid w:val="0"/>
              <w:spacing w:line="320" w:lineRule="exact"/>
              <w:jc w:val="center"/>
              <w:rPr>
                <w:rFonts w:ascii="黑体" w:hAnsi="黑体" w:eastAsia="黑体" w:cs="仿宋"/>
                <w:kern w:val="0"/>
                <w:sz w:val="24"/>
                <w:szCs w:val="28"/>
                <w:lang w:val="zh-CN" w:bidi="zh-CN"/>
              </w:rPr>
            </w:pPr>
            <w:r>
              <w:rPr>
                <w:rFonts w:hint="eastAsia" w:ascii="黑体" w:hAnsi="黑体" w:eastAsia="黑体" w:cs="仿宋"/>
                <w:kern w:val="0"/>
                <w:sz w:val="24"/>
                <w:szCs w:val="28"/>
                <w:lang w:val="zh-CN" w:bidi="zh-CN"/>
              </w:rPr>
              <w:t>住人员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918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黑体" w:hAnsi="黑体" w:eastAsia="黑体" w:cs="仿宋"/>
                <w:kern w:val="0"/>
                <w:sz w:val="24"/>
                <w:szCs w:val="28"/>
                <w:lang w:val="zh-CN" w:bidi="zh-CN"/>
              </w:rPr>
            </w:pPr>
            <w:r>
              <w:rPr>
                <w:rFonts w:hint="eastAsia" w:ascii="黑体" w:hAnsi="黑体" w:eastAsia="黑体" w:cs="仿宋"/>
                <w:kern w:val="0"/>
                <w:sz w:val="24"/>
                <w:szCs w:val="28"/>
                <w:lang w:bidi="zh-CN"/>
              </w:rPr>
              <w:t>一、流行病史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693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楷体" w:eastAsia="仿宋_GB2312" w:cs="仿宋"/>
                <w:kern w:val="0"/>
                <w:sz w:val="24"/>
                <w:szCs w:val="28"/>
                <w:lang w:bidi="zh-CN"/>
              </w:rPr>
            </w:pPr>
            <w:r>
              <w:rPr>
                <w:rFonts w:hint="eastAsia" w:ascii="仿宋_GB2312" w:hAnsi="楷体" w:eastAsia="仿宋_GB2312" w:cs="仿宋"/>
                <w:kern w:val="0"/>
                <w:sz w:val="24"/>
                <w:szCs w:val="28"/>
                <w:lang w:bidi="zh-CN"/>
              </w:rPr>
              <w:t>1. 21天内有中、高风险地区旅居史</w:t>
            </w:r>
          </w:p>
          <w:p>
            <w:pPr>
              <w:snapToGrid w:val="0"/>
              <w:spacing w:line="320" w:lineRule="exact"/>
              <w:ind w:firstLine="240" w:firstLineChars="100"/>
              <w:rPr>
                <w:rFonts w:ascii="仿宋_GB2312" w:hAnsi="楷体" w:eastAsia="仿宋_GB2312" w:cs="仿宋"/>
                <w:kern w:val="0"/>
                <w:sz w:val="24"/>
                <w:szCs w:val="28"/>
                <w:lang w:bidi="zh-CN"/>
              </w:rPr>
            </w:pPr>
            <w:r>
              <w:rPr>
                <w:rFonts w:hint="eastAsia" w:ascii="仿宋_GB2312" w:hAnsi="楷体" w:eastAsia="仿宋_GB2312" w:cs="仿宋"/>
                <w:kern w:val="0"/>
                <w:sz w:val="24"/>
                <w:szCs w:val="28"/>
                <w:lang w:bidi="zh-CN"/>
              </w:rPr>
              <w:t>具体地区名单：</w:t>
            </w:r>
          </w:p>
        </w:tc>
        <w:tc>
          <w:tcPr>
            <w:tcW w:w="1161"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 w:val="24"/>
              </w:rPr>
            </w:pPr>
            <w:r>
              <w:rPr>
                <w:rFonts w:hint="eastAsia" w:ascii="仿宋_GB2312" w:hAnsi="楷体" w:eastAsia="仿宋_GB2312" w:cs="仿宋"/>
                <w:sz w:val="24"/>
              </w:rPr>
              <w:t>□是□否</w:t>
            </w:r>
          </w:p>
        </w:tc>
        <w:tc>
          <w:tcPr>
            <w:tcW w:w="108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 w:val="24"/>
              </w:rPr>
            </w:pPr>
            <w:r>
              <w:rPr>
                <w:rFonts w:hint="eastAsia" w:ascii="仿宋_GB2312" w:hAnsi="楷体" w:eastAsia="仿宋_GB2312" w:cs="仿宋"/>
                <w:sz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693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楷体" w:eastAsia="仿宋_GB2312" w:cs="仿宋"/>
                <w:kern w:val="0"/>
                <w:sz w:val="24"/>
                <w:szCs w:val="28"/>
                <w:lang w:bidi="zh-CN"/>
              </w:rPr>
            </w:pPr>
            <w:r>
              <w:rPr>
                <w:rFonts w:hint="eastAsia" w:ascii="仿宋_GB2312" w:hAnsi="楷体" w:eastAsia="仿宋_GB2312" w:cs="仿宋"/>
                <w:kern w:val="0"/>
                <w:sz w:val="24"/>
                <w:szCs w:val="28"/>
                <w:lang w:bidi="zh-CN"/>
              </w:rPr>
              <w:t>2. 28天内本人有境外旅居史</w:t>
            </w:r>
          </w:p>
        </w:tc>
        <w:tc>
          <w:tcPr>
            <w:tcW w:w="1161"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 w:val="24"/>
              </w:rPr>
            </w:pPr>
            <w:r>
              <w:rPr>
                <w:rFonts w:hint="eastAsia" w:ascii="仿宋_GB2312" w:hAnsi="楷体" w:eastAsia="仿宋_GB2312" w:cs="仿宋"/>
                <w:sz w:val="24"/>
              </w:rPr>
              <w:t>□是□否</w:t>
            </w:r>
          </w:p>
        </w:tc>
        <w:tc>
          <w:tcPr>
            <w:tcW w:w="108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 w:val="24"/>
              </w:rPr>
            </w:pPr>
            <w:r>
              <w:rPr>
                <w:rFonts w:hint="eastAsia" w:ascii="仿宋_GB2312" w:hAnsi="楷体" w:eastAsia="仿宋_GB2312" w:cs="仿宋"/>
                <w:sz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693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楷体" w:eastAsia="仿宋_GB2312" w:cs="仿宋"/>
                <w:kern w:val="0"/>
                <w:sz w:val="24"/>
                <w:szCs w:val="28"/>
                <w:lang w:bidi="zh-CN"/>
              </w:rPr>
            </w:pPr>
            <w:r>
              <w:rPr>
                <w:rFonts w:hint="eastAsia" w:ascii="仿宋_GB2312" w:hAnsi="楷体" w:eastAsia="仿宋_GB2312" w:cs="仿宋"/>
                <w:kern w:val="0"/>
                <w:sz w:val="24"/>
                <w:szCs w:val="28"/>
                <w:lang w:bidi="zh-CN"/>
              </w:rPr>
              <w:t>3. 21天内</w:t>
            </w:r>
            <w:r>
              <w:rPr>
                <w:rFonts w:hint="eastAsia" w:ascii="仿宋_GB2312" w:hAnsi="楷体" w:eastAsia="仿宋_GB2312" w:cs="仿宋"/>
                <w:kern w:val="0"/>
                <w:sz w:val="24"/>
                <w:szCs w:val="28"/>
                <w:lang w:val="zh-CN" w:bidi="zh-CN"/>
              </w:rPr>
              <w:t>曾接触</w:t>
            </w:r>
            <w:r>
              <w:rPr>
                <w:rFonts w:hint="eastAsia" w:ascii="仿宋_GB2312" w:hAnsi="楷体" w:eastAsia="仿宋_GB2312" w:cs="仿宋"/>
                <w:kern w:val="0"/>
                <w:sz w:val="24"/>
                <w:szCs w:val="28"/>
                <w:lang w:bidi="zh-CN"/>
              </w:rPr>
              <w:t>过</w:t>
            </w:r>
            <w:r>
              <w:rPr>
                <w:rFonts w:hint="eastAsia" w:ascii="仿宋_GB2312" w:hAnsi="楷体" w:eastAsia="仿宋_GB2312" w:cs="仿宋"/>
                <w:kern w:val="0"/>
                <w:sz w:val="24"/>
                <w:szCs w:val="28"/>
                <w:lang w:val="zh-CN" w:bidi="zh-CN"/>
              </w:rPr>
              <w:t>来自</w:t>
            </w:r>
            <w:r>
              <w:rPr>
                <w:rFonts w:hint="eastAsia" w:ascii="仿宋_GB2312" w:hAnsi="楷体" w:eastAsia="仿宋_GB2312" w:cs="仿宋"/>
                <w:kern w:val="0"/>
                <w:sz w:val="24"/>
                <w:szCs w:val="28"/>
                <w:lang w:bidi="zh-CN"/>
              </w:rPr>
              <w:t>中、高风险地区</w:t>
            </w:r>
            <w:r>
              <w:rPr>
                <w:rFonts w:hint="eastAsia" w:ascii="仿宋_GB2312" w:hAnsi="楷体" w:eastAsia="仿宋_GB2312" w:cs="仿宋"/>
                <w:kern w:val="0"/>
                <w:sz w:val="24"/>
                <w:szCs w:val="28"/>
                <w:lang w:val="zh-CN" w:bidi="zh-CN"/>
              </w:rPr>
              <w:t>的有发热</w:t>
            </w:r>
            <w:r>
              <w:rPr>
                <w:rFonts w:hint="eastAsia" w:ascii="仿宋_GB2312" w:hAnsi="楷体" w:eastAsia="仿宋_GB2312" w:cs="仿宋"/>
                <w:kern w:val="0"/>
                <w:sz w:val="24"/>
                <w:szCs w:val="28"/>
                <w:lang w:bidi="zh-CN"/>
              </w:rPr>
              <w:t>或</w:t>
            </w:r>
            <w:r>
              <w:rPr>
                <w:rFonts w:hint="eastAsia" w:ascii="仿宋_GB2312" w:hAnsi="楷体" w:eastAsia="仿宋_GB2312" w:cs="仿宋"/>
                <w:kern w:val="0"/>
                <w:sz w:val="24"/>
                <w:szCs w:val="28"/>
                <w:lang w:val="zh-CN" w:bidi="zh-CN"/>
              </w:rPr>
              <w:t>呼吸道症状的患者</w:t>
            </w:r>
          </w:p>
        </w:tc>
        <w:tc>
          <w:tcPr>
            <w:tcW w:w="1161"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 w:val="24"/>
              </w:rPr>
            </w:pPr>
            <w:r>
              <w:rPr>
                <w:rFonts w:hint="eastAsia" w:ascii="仿宋_GB2312" w:hAnsi="楷体" w:eastAsia="仿宋_GB2312" w:cs="仿宋"/>
                <w:sz w:val="24"/>
              </w:rPr>
              <w:t>□是□否</w:t>
            </w:r>
          </w:p>
        </w:tc>
        <w:tc>
          <w:tcPr>
            <w:tcW w:w="108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 w:val="24"/>
              </w:rPr>
            </w:pPr>
            <w:r>
              <w:rPr>
                <w:rFonts w:hint="eastAsia" w:ascii="仿宋_GB2312" w:hAnsi="楷体" w:eastAsia="仿宋_GB2312" w:cs="仿宋"/>
                <w:sz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693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楷体" w:eastAsia="仿宋_GB2312" w:cs="仿宋"/>
                <w:kern w:val="0"/>
                <w:sz w:val="24"/>
                <w:szCs w:val="28"/>
                <w:lang w:bidi="zh-CN"/>
              </w:rPr>
            </w:pPr>
            <w:r>
              <w:rPr>
                <w:rFonts w:hint="eastAsia" w:ascii="仿宋_GB2312" w:hAnsi="楷体" w:eastAsia="仿宋_GB2312" w:cs="仿宋"/>
                <w:kern w:val="0"/>
                <w:sz w:val="24"/>
                <w:szCs w:val="28"/>
                <w:lang w:bidi="zh-CN"/>
              </w:rPr>
              <w:t>4. 21天内</w:t>
            </w:r>
            <w:r>
              <w:rPr>
                <w:rFonts w:hint="eastAsia" w:ascii="仿宋_GB2312" w:hAnsi="楷体" w:eastAsia="仿宋_GB2312" w:cs="仿宋"/>
                <w:kern w:val="0"/>
                <w:sz w:val="24"/>
                <w:szCs w:val="28"/>
                <w:lang w:val="zh-CN" w:bidi="zh-CN"/>
              </w:rPr>
              <w:t>曾接触</w:t>
            </w:r>
            <w:r>
              <w:rPr>
                <w:rFonts w:hint="eastAsia" w:ascii="仿宋_GB2312" w:hAnsi="楷体" w:eastAsia="仿宋_GB2312" w:cs="仿宋"/>
                <w:kern w:val="0"/>
                <w:sz w:val="24"/>
                <w:szCs w:val="28"/>
                <w:lang w:bidi="zh-CN"/>
              </w:rPr>
              <w:t>过</w:t>
            </w:r>
            <w:r>
              <w:rPr>
                <w:rFonts w:hint="eastAsia" w:ascii="仿宋_GB2312" w:hAnsi="楷体" w:eastAsia="仿宋_GB2312" w:cs="仿宋"/>
                <w:kern w:val="0"/>
                <w:sz w:val="24"/>
                <w:szCs w:val="28"/>
                <w:lang w:val="zh-CN" w:bidi="zh-CN"/>
              </w:rPr>
              <w:t>新冠病毒感染者或</w:t>
            </w:r>
            <w:r>
              <w:rPr>
                <w:rFonts w:hint="eastAsia" w:ascii="仿宋_GB2312" w:hAnsi="楷体" w:eastAsia="仿宋_GB2312" w:cs="仿宋"/>
                <w:kern w:val="0"/>
                <w:sz w:val="24"/>
                <w:szCs w:val="28"/>
                <w:lang w:bidi="zh-CN"/>
              </w:rPr>
              <w:t>其</w:t>
            </w:r>
            <w:r>
              <w:rPr>
                <w:rFonts w:hint="eastAsia" w:ascii="仿宋_GB2312" w:hAnsi="楷体" w:eastAsia="仿宋_GB2312" w:cs="仿宋"/>
                <w:kern w:val="0"/>
                <w:sz w:val="24"/>
                <w:szCs w:val="28"/>
                <w:lang w:val="zh-CN" w:bidi="zh-CN"/>
              </w:rPr>
              <w:t>密切接触者</w:t>
            </w:r>
          </w:p>
        </w:tc>
        <w:tc>
          <w:tcPr>
            <w:tcW w:w="1161"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 w:val="24"/>
              </w:rPr>
            </w:pPr>
            <w:r>
              <w:rPr>
                <w:rFonts w:hint="eastAsia" w:ascii="仿宋_GB2312" w:hAnsi="楷体" w:eastAsia="仿宋_GB2312" w:cs="仿宋"/>
                <w:sz w:val="24"/>
              </w:rPr>
              <w:t>□是□否</w:t>
            </w:r>
          </w:p>
        </w:tc>
        <w:tc>
          <w:tcPr>
            <w:tcW w:w="108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 w:val="24"/>
              </w:rPr>
            </w:pPr>
            <w:r>
              <w:rPr>
                <w:rFonts w:hint="eastAsia" w:ascii="仿宋_GB2312" w:hAnsi="楷体" w:eastAsia="仿宋_GB2312" w:cs="仿宋"/>
                <w:sz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693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楷体" w:eastAsia="仿宋_GB2312" w:cs="仿宋"/>
                <w:kern w:val="0"/>
                <w:sz w:val="24"/>
                <w:szCs w:val="28"/>
                <w:lang w:bidi="zh-CN"/>
              </w:rPr>
            </w:pPr>
            <w:r>
              <w:rPr>
                <w:rFonts w:hint="eastAsia" w:ascii="仿宋_GB2312" w:hAnsi="楷体" w:eastAsia="仿宋_GB2312" w:cs="仿宋"/>
                <w:spacing w:val="-8"/>
                <w:kern w:val="0"/>
                <w:sz w:val="24"/>
                <w:szCs w:val="28"/>
                <w:lang w:bidi="zh-CN"/>
              </w:rPr>
              <w:t>5. 聚集性发病患者（21天内在</w:t>
            </w:r>
            <w:r>
              <w:rPr>
                <w:rFonts w:hint="eastAsia" w:ascii="仿宋_GB2312" w:hAnsi="楷体" w:eastAsia="仿宋_GB2312" w:cs="仿宋"/>
                <w:spacing w:val="-8"/>
                <w:kern w:val="0"/>
                <w:sz w:val="24"/>
                <w:szCs w:val="28"/>
                <w:lang w:val="zh-CN" w:bidi="zh-CN"/>
              </w:rPr>
              <w:t>小范围如家庭、办公室、学校班级等场所，出现</w:t>
            </w:r>
            <w:r>
              <w:rPr>
                <w:rFonts w:hint="eastAsia" w:ascii="仿宋_GB2312" w:hAnsi="楷体" w:eastAsia="仿宋_GB2312" w:cs="仿宋"/>
                <w:kern w:val="0"/>
                <w:sz w:val="24"/>
                <w:szCs w:val="28"/>
                <w:lang w:val="zh-CN" w:bidi="zh-CN"/>
              </w:rPr>
              <w:t>2</w:t>
            </w:r>
            <w:r>
              <w:rPr>
                <w:rFonts w:hint="eastAsia" w:ascii="仿宋_GB2312" w:hAnsi="楷体" w:eastAsia="仿宋_GB2312" w:cs="仿宋"/>
                <w:spacing w:val="-9"/>
                <w:kern w:val="0"/>
                <w:sz w:val="24"/>
                <w:szCs w:val="28"/>
                <w:lang w:val="zh-CN" w:bidi="zh-CN"/>
              </w:rPr>
              <w:t>例及以上发热</w:t>
            </w:r>
            <w:r>
              <w:rPr>
                <w:rFonts w:hint="eastAsia" w:ascii="仿宋_GB2312" w:hAnsi="楷体" w:eastAsia="仿宋_GB2312" w:cs="仿宋"/>
                <w:spacing w:val="-9"/>
                <w:kern w:val="0"/>
                <w:sz w:val="24"/>
                <w:szCs w:val="28"/>
                <w:lang w:bidi="zh-CN"/>
              </w:rPr>
              <w:t>或呼吸道</w:t>
            </w:r>
            <w:r>
              <w:rPr>
                <w:rFonts w:hint="eastAsia" w:ascii="仿宋_GB2312" w:hAnsi="楷体" w:eastAsia="仿宋_GB2312" w:cs="仿宋"/>
                <w:spacing w:val="-10"/>
                <w:kern w:val="0"/>
                <w:sz w:val="24"/>
                <w:szCs w:val="28"/>
                <w:lang w:val="zh-CN" w:bidi="zh-CN"/>
              </w:rPr>
              <w:t>症状的</w:t>
            </w:r>
            <w:r>
              <w:rPr>
                <w:rFonts w:hint="eastAsia" w:ascii="仿宋_GB2312" w:hAnsi="楷体" w:eastAsia="仿宋_GB2312" w:cs="仿宋"/>
                <w:spacing w:val="-10"/>
                <w:kern w:val="0"/>
                <w:sz w:val="24"/>
                <w:szCs w:val="28"/>
                <w:lang w:bidi="zh-CN"/>
              </w:rPr>
              <w:t>患者</w:t>
            </w:r>
            <w:r>
              <w:rPr>
                <w:rFonts w:hint="eastAsia" w:ascii="仿宋_GB2312" w:hAnsi="楷体" w:eastAsia="仿宋_GB2312" w:cs="仿宋"/>
                <w:spacing w:val="-8"/>
                <w:kern w:val="0"/>
                <w:sz w:val="24"/>
                <w:szCs w:val="28"/>
                <w:lang w:bidi="zh-CN"/>
              </w:rPr>
              <w:t>）</w:t>
            </w:r>
          </w:p>
        </w:tc>
        <w:tc>
          <w:tcPr>
            <w:tcW w:w="1161"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 w:val="24"/>
              </w:rPr>
            </w:pPr>
            <w:r>
              <w:rPr>
                <w:rFonts w:hint="eastAsia" w:ascii="仿宋_GB2312" w:hAnsi="楷体" w:eastAsia="仿宋_GB2312" w:cs="仿宋"/>
                <w:sz w:val="24"/>
              </w:rPr>
              <w:t>□是□否</w:t>
            </w:r>
          </w:p>
        </w:tc>
        <w:tc>
          <w:tcPr>
            <w:tcW w:w="108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 w:val="24"/>
              </w:rPr>
            </w:pPr>
            <w:r>
              <w:rPr>
                <w:rFonts w:hint="eastAsia" w:ascii="仿宋_GB2312" w:hAnsi="楷体" w:eastAsia="仿宋_GB2312" w:cs="仿宋"/>
                <w:sz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18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黑体" w:hAnsi="黑体" w:eastAsia="黑体" w:cs="仿宋"/>
                <w:kern w:val="0"/>
                <w:sz w:val="24"/>
                <w:szCs w:val="28"/>
                <w:lang w:val="zh-CN" w:bidi="zh-CN"/>
              </w:rPr>
            </w:pPr>
            <w:r>
              <w:rPr>
                <w:rFonts w:hint="eastAsia" w:ascii="黑体" w:hAnsi="黑体" w:eastAsia="黑体" w:cs="仿宋"/>
                <w:bCs/>
                <w:spacing w:val="-8"/>
                <w:kern w:val="0"/>
                <w:sz w:val="24"/>
                <w:szCs w:val="28"/>
                <w:lang w:bidi="zh-CN"/>
              </w:rPr>
              <w:t>二、风险人群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34" w:type="dxa"/>
            <w:tcBorders>
              <w:top w:val="single" w:color="000000" w:sz="4" w:space="0"/>
              <w:left w:val="single" w:color="000000" w:sz="4" w:space="0"/>
              <w:bottom w:val="single" w:color="auto" w:sz="4" w:space="0"/>
              <w:right w:val="single" w:color="000000" w:sz="4" w:space="0"/>
            </w:tcBorders>
            <w:vAlign w:val="center"/>
          </w:tcPr>
          <w:p>
            <w:pPr>
              <w:snapToGrid w:val="0"/>
              <w:spacing w:line="320" w:lineRule="exact"/>
              <w:rPr>
                <w:rFonts w:ascii="仿宋_GB2312" w:hAnsi="楷体" w:eastAsia="仿宋_GB2312" w:cs="仿宋"/>
                <w:spacing w:val="-8"/>
                <w:kern w:val="0"/>
                <w:sz w:val="24"/>
                <w:szCs w:val="28"/>
                <w:lang w:bidi="zh-CN"/>
              </w:rPr>
            </w:pPr>
            <w:r>
              <w:rPr>
                <w:rFonts w:hint="eastAsia" w:ascii="仿宋_GB2312" w:hAnsi="楷体" w:eastAsia="仿宋_GB2312" w:cs="仿宋"/>
                <w:kern w:val="0"/>
                <w:sz w:val="24"/>
                <w:szCs w:val="28"/>
                <w:lang w:bidi="zh-CN"/>
              </w:rPr>
              <w:t>1. 流行病史</w:t>
            </w:r>
            <w:r>
              <w:rPr>
                <w:rFonts w:hint="eastAsia" w:ascii="仿宋_GB2312" w:hAnsi="楷体" w:eastAsia="仿宋_GB2312" w:cs="仿宋"/>
                <w:kern w:val="0"/>
                <w:sz w:val="24"/>
                <w:szCs w:val="28"/>
                <w:lang w:val="zh-CN" w:bidi="zh-CN"/>
              </w:rPr>
              <w:t>中所述任一情况人员</w:t>
            </w:r>
            <w:r>
              <w:rPr>
                <w:rFonts w:hint="eastAsia" w:ascii="仿宋_GB2312" w:hAnsi="楷体" w:eastAsia="仿宋_GB2312" w:cs="仿宋"/>
                <w:kern w:val="0"/>
                <w:sz w:val="24"/>
                <w:szCs w:val="28"/>
                <w:lang w:bidi="zh-CN"/>
              </w:rPr>
              <w:t>的共同居住者</w:t>
            </w:r>
          </w:p>
        </w:tc>
        <w:tc>
          <w:tcPr>
            <w:tcW w:w="1161"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 w:val="24"/>
              </w:rPr>
            </w:pPr>
            <w:r>
              <w:rPr>
                <w:rFonts w:hint="eastAsia" w:ascii="仿宋_GB2312" w:hAnsi="楷体" w:eastAsia="仿宋_GB2312" w:cs="仿宋"/>
                <w:sz w:val="24"/>
              </w:rPr>
              <w:t>□是□否</w:t>
            </w:r>
          </w:p>
        </w:tc>
        <w:tc>
          <w:tcPr>
            <w:tcW w:w="108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sz w:val="24"/>
              </w:rPr>
            </w:pPr>
            <w:r>
              <w:rPr>
                <w:rFonts w:hint="eastAsia" w:ascii="仿宋_GB2312" w:hAnsi="楷体" w:eastAsia="仿宋_GB2312" w:cs="仿宋"/>
                <w:sz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34" w:type="dxa"/>
            <w:tcBorders>
              <w:top w:val="single" w:color="auto" w:sz="4" w:space="0"/>
              <w:left w:val="single" w:color="auto" w:sz="4" w:space="0"/>
              <w:bottom w:val="single" w:color="000000" w:sz="4" w:space="0"/>
              <w:right w:val="single" w:color="auto" w:sz="4" w:space="0"/>
            </w:tcBorders>
            <w:vAlign w:val="center"/>
          </w:tcPr>
          <w:p>
            <w:pPr>
              <w:snapToGrid w:val="0"/>
              <w:spacing w:line="320" w:lineRule="exact"/>
              <w:rPr>
                <w:rFonts w:ascii="仿宋_GB2312" w:hAnsi="楷体" w:eastAsia="仿宋_GB2312" w:cs="仿宋"/>
                <w:kern w:val="0"/>
                <w:sz w:val="24"/>
                <w:szCs w:val="28"/>
                <w:lang w:bidi="zh-CN"/>
              </w:rPr>
            </w:pPr>
            <w:r>
              <w:rPr>
                <w:rFonts w:hint="eastAsia" w:ascii="仿宋_GB2312" w:hAnsi="楷体" w:eastAsia="仿宋_GB2312" w:cs="仿宋"/>
                <w:spacing w:val="-3"/>
                <w:kern w:val="0"/>
                <w:sz w:val="24"/>
                <w:szCs w:val="28"/>
                <w:lang w:bidi="zh-CN"/>
              </w:rPr>
              <w:t>2. 本人或共同居住者</w:t>
            </w:r>
            <w:r>
              <w:rPr>
                <w:rFonts w:hint="eastAsia" w:ascii="仿宋_GB2312" w:hAnsi="楷体" w:eastAsia="仿宋_GB2312" w:cs="仿宋"/>
                <w:spacing w:val="-3"/>
                <w:kern w:val="0"/>
                <w:sz w:val="24"/>
                <w:szCs w:val="28"/>
                <w:lang w:val="zh-CN" w:bidi="zh-CN"/>
              </w:rPr>
              <w:t>从事可能接触新冠病毒或</w:t>
            </w:r>
            <w:r>
              <w:rPr>
                <w:rFonts w:hint="eastAsia" w:ascii="仿宋_GB2312" w:hAnsi="楷体" w:eastAsia="仿宋_GB2312" w:cs="仿宋"/>
                <w:spacing w:val="-3"/>
                <w:kern w:val="0"/>
                <w:sz w:val="24"/>
                <w:szCs w:val="28"/>
                <w:lang w:bidi="zh-CN"/>
              </w:rPr>
              <w:t>新冠病毒感染者</w:t>
            </w:r>
            <w:r>
              <w:rPr>
                <w:rFonts w:hint="eastAsia" w:ascii="仿宋_GB2312" w:hAnsi="楷体" w:eastAsia="仿宋_GB2312" w:cs="仿宋"/>
                <w:spacing w:val="-3"/>
                <w:kern w:val="0"/>
                <w:sz w:val="24"/>
                <w:szCs w:val="28"/>
                <w:lang w:val="zh-CN" w:bidi="zh-CN"/>
              </w:rPr>
              <w:t>相关工作的</w:t>
            </w:r>
            <w:r>
              <w:rPr>
                <w:rFonts w:hint="eastAsia" w:ascii="仿宋_GB2312" w:hAnsi="楷体" w:eastAsia="仿宋_GB2312" w:cs="仿宋"/>
                <w:spacing w:val="-3"/>
                <w:kern w:val="0"/>
                <w:sz w:val="24"/>
                <w:szCs w:val="28"/>
                <w:lang w:bidi="zh-CN"/>
              </w:rPr>
              <w:t>较高风险人群</w:t>
            </w:r>
            <w:r>
              <w:rPr>
                <w:rFonts w:hint="eastAsia" w:ascii="仿宋_GB2312" w:hAnsi="楷体" w:eastAsia="仿宋_GB2312" w:cs="仿宋"/>
                <w:spacing w:val="-3"/>
                <w:kern w:val="0"/>
                <w:sz w:val="24"/>
                <w:szCs w:val="28"/>
                <w:lang w:val="zh-CN" w:bidi="zh-CN"/>
              </w:rPr>
              <w:t>，</w:t>
            </w:r>
            <w:r>
              <w:rPr>
                <w:rFonts w:hint="eastAsia" w:ascii="仿宋_GB2312" w:hAnsi="楷体" w:eastAsia="仿宋_GB2312" w:cs="仿宋"/>
                <w:spacing w:val="-3"/>
                <w:kern w:val="0"/>
                <w:sz w:val="24"/>
                <w:szCs w:val="28"/>
                <w:lang w:bidi="zh-CN"/>
              </w:rPr>
              <w:t>主要包括：</w:t>
            </w:r>
          </w:p>
        </w:tc>
        <w:tc>
          <w:tcPr>
            <w:tcW w:w="1161" w:type="dxa"/>
            <w:tcBorders>
              <w:top w:val="single" w:color="000000" w:sz="4" w:space="0"/>
              <w:left w:val="single" w:color="auto"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kern w:val="0"/>
                <w:sz w:val="28"/>
                <w:szCs w:val="28"/>
                <w:lang w:val="zh-CN" w:bidi="zh-CN"/>
              </w:rPr>
            </w:pPr>
          </w:p>
        </w:tc>
        <w:tc>
          <w:tcPr>
            <w:tcW w:w="108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仿宋"/>
                <w:kern w:val="0"/>
                <w:sz w:val="28"/>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34" w:type="dxa"/>
            <w:tcBorders>
              <w:top w:val="single" w:color="000000" w:sz="4" w:space="0"/>
              <w:left w:val="single" w:color="auto" w:sz="4" w:space="0"/>
              <w:bottom w:val="single" w:color="000000" w:sz="4" w:space="0"/>
              <w:right w:val="single" w:color="auto" w:sz="4" w:space="0"/>
            </w:tcBorders>
            <w:vAlign w:val="center"/>
          </w:tcPr>
          <w:p>
            <w:pPr>
              <w:snapToGrid w:val="0"/>
              <w:spacing w:line="320" w:lineRule="exact"/>
              <w:rPr>
                <w:rFonts w:ascii="仿宋_GB2312" w:hAnsi="楷体" w:eastAsia="仿宋_GB2312" w:cs="仿宋"/>
                <w:kern w:val="0"/>
                <w:sz w:val="24"/>
                <w:szCs w:val="28"/>
                <w:lang w:bidi="zh-CN"/>
              </w:rPr>
            </w:pPr>
            <w:r>
              <w:rPr>
                <w:rFonts w:hint="eastAsia" w:ascii="仿宋_GB2312" w:hAnsi="楷体" w:eastAsia="仿宋_GB2312" w:cs="仿宋"/>
                <w:spacing w:val="-8"/>
                <w:kern w:val="0"/>
                <w:sz w:val="24"/>
                <w:szCs w:val="28"/>
                <w:lang w:bidi="zh-CN"/>
              </w:rPr>
              <w:t>①</w:t>
            </w:r>
            <w:r>
              <w:rPr>
                <w:rFonts w:hint="eastAsia" w:ascii="仿宋_GB2312" w:hAnsi="楷体" w:eastAsia="仿宋_GB2312" w:cs="仿宋"/>
                <w:spacing w:val="-3"/>
                <w:kern w:val="0"/>
                <w:sz w:val="24"/>
                <w:szCs w:val="28"/>
                <w:lang w:bidi="zh-CN"/>
              </w:rPr>
              <w:t>进口冷链、海鲜、肉类等食品监管和从业人员等</w:t>
            </w:r>
          </w:p>
        </w:tc>
        <w:tc>
          <w:tcPr>
            <w:tcW w:w="1161" w:type="dxa"/>
            <w:tcBorders>
              <w:top w:val="single" w:color="000000" w:sz="4" w:space="0"/>
              <w:left w:val="single" w:color="auto"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rPr>
            </w:pPr>
            <w:r>
              <w:rPr>
                <w:rFonts w:hint="eastAsia" w:ascii="仿宋_GB2312" w:hAnsi="楷体" w:eastAsia="仿宋_GB2312" w:cs="仿宋"/>
                <w:sz w:val="24"/>
              </w:rPr>
              <w:t>□是□否</w:t>
            </w:r>
          </w:p>
        </w:tc>
        <w:tc>
          <w:tcPr>
            <w:tcW w:w="108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rPr>
            </w:pPr>
            <w:r>
              <w:rPr>
                <w:rFonts w:hint="eastAsia" w:ascii="仿宋_GB2312" w:hAnsi="楷体" w:eastAsia="仿宋_GB2312" w:cs="仿宋"/>
                <w:sz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34" w:type="dxa"/>
            <w:tcBorders>
              <w:top w:val="single" w:color="000000" w:sz="4" w:space="0"/>
              <w:left w:val="single" w:color="auto" w:sz="4" w:space="0"/>
              <w:bottom w:val="single" w:color="000000" w:sz="4" w:space="0"/>
              <w:right w:val="single" w:color="auto" w:sz="4" w:space="0"/>
            </w:tcBorders>
            <w:vAlign w:val="center"/>
          </w:tcPr>
          <w:p>
            <w:pPr>
              <w:snapToGrid w:val="0"/>
              <w:spacing w:line="320" w:lineRule="exact"/>
              <w:rPr>
                <w:rFonts w:ascii="仿宋_GB2312" w:hAnsi="楷体" w:eastAsia="仿宋_GB2312" w:cs="仿宋"/>
                <w:spacing w:val="-3"/>
                <w:kern w:val="0"/>
                <w:sz w:val="24"/>
                <w:szCs w:val="28"/>
                <w:lang w:bidi="zh-CN"/>
              </w:rPr>
            </w:pPr>
            <w:r>
              <w:rPr>
                <w:rFonts w:hint="eastAsia" w:ascii="仿宋_GB2312" w:hAnsi="楷体" w:eastAsia="仿宋_GB2312" w:cs="仿宋"/>
                <w:kern w:val="0"/>
                <w:sz w:val="24"/>
                <w:szCs w:val="28"/>
                <w:lang w:bidi="zh-CN"/>
              </w:rPr>
              <w:t>②</w:t>
            </w:r>
            <w:r>
              <w:rPr>
                <w:rFonts w:hint="eastAsia" w:ascii="仿宋_GB2312" w:hAnsi="楷体" w:eastAsia="仿宋_GB2312" w:cs="仿宋"/>
                <w:spacing w:val="-3"/>
                <w:kern w:val="0"/>
                <w:sz w:val="24"/>
                <w:szCs w:val="28"/>
                <w:lang w:bidi="zh-CN"/>
              </w:rPr>
              <w:t>集中医学观察场所从业人员等</w:t>
            </w:r>
          </w:p>
        </w:tc>
        <w:tc>
          <w:tcPr>
            <w:tcW w:w="1161" w:type="dxa"/>
            <w:tcBorders>
              <w:top w:val="single" w:color="000000" w:sz="4" w:space="0"/>
              <w:left w:val="single" w:color="auto"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rPr>
            </w:pPr>
            <w:r>
              <w:rPr>
                <w:rFonts w:hint="eastAsia" w:ascii="仿宋_GB2312" w:hAnsi="楷体" w:eastAsia="仿宋_GB2312" w:cs="仿宋"/>
                <w:sz w:val="24"/>
              </w:rPr>
              <w:t>□是□否</w:t>
            </w:r>
          </w:p>
        </w:tc>
        <w:tc>
          <w:tcPr>
            <w:tcW w:w="108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rPr>
            </w:pPr>
            <w:r>
              <w:rPr>
                <w:rFonts w:hint="eastAsia" w:ascii="仿宋_GB2312" w:hAnsi="楷体" w:eastAsia="仿宋_GB2312" w:cs="仿宋"/>
                <w:sz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34" w:type="dxa"/>
            <w:tcBorders>
              <w:top w:val="single" w:color="000000" w:sz="4" w:space="0"/>
              <w:left w:val="single" w:color="auto" w:sz="4" w:space="0"/>
              <w:bottom w:val="single" w:color="000000" w:sz="4" w:space="0"/>
              <w:right w:val="single" w:color="auto" w:sz="4" w:space="0"/>
            </w:tcBorders>
            <w:vAlign w:val="center"/>
          </w:tcPr>
          <w:p>
            <w:pPr>
              <w:tabs>
                <w:tab w:val="left" w:pos="4630"/>
              </w:tabs>
              <w:snapToGrid w:val="0"/>
              <w:spacing w:line="320" w:lineRule="exact"/>
              <w:rPr>
                <w:rFonts w:ascii="仿宋_GB2312" w:hAnsi="楷体" w:eastAsia="仿宋_GB2312" w:cs="仿宋"/>
                <w:spacing w:val="-6"/>
                <w:kern w:val="0"/>
                <w:sz w:val="24"/>
                <w:szCs w:val="28"/>
                <w:lang w:bidi="zh-CN"/>
              </w:rPr>
            </w:pPr>
            <w:r>
              <w:rPr>
                <w:rFonts w:hint="eastAsia" w:ascii="仿宋_GB2312" w:hAnsi="楷体" w:eastAsia="仿宋_GB2312" w:cs="仿宋"/>
                <w:spacing w:val="-6"/>
                <w:kern w:val="0"/>
                <w:sz w:val="24"/>
                <w:szCs w:val="28"/>
                <w:lang w:bidi="zh-CN"/>
              </w:rPr>
              <w:t>③新冠肺炎医疗救治定点医院、医疗机构发热门诊和急诊等相关各类人员等</w:t>
            </w:r>
          </w:p>
        </w:tc>
        <w:tc>
          <w:tcPr>
            <w:tcW w:w="1161" w:type="dxa"/>
            <w:tcBorders>
              <w:top w:val="single" w:color="000000" w:sz="4" w:space="0"/>
              <w:left w:val="single" w:color="auto"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rPr>
            </w:pPr>
            <w:r>
              <w:rPr>
                <w:rFonts w:hint="eastAsia" w:ascii="仿宋_GB2312" w:hAnsi="楷体" w:eastAsia="仿宋_GB2312" w:cs="仿宋"/>
                <w:sz w:val="24"/>
              </w:rPr>
              <w:t>□是□否</w:t>
            </w:r>
          </w:p>
        </w:tc>
        <w:tc>
          <w:tcPr>
            <w:tcW w:w="108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rPr>
            </w:pPr>
            <w:r>
              <w:rPr>
                <w:rFonts w:hint="eastAsia" w:ascii="仿宋_GB2312" w:hAnsi="楷体" w:eastAsia="仿宋_GB2312" w:cs="仿宋"/>
                <w:sz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34" w:type="dxa"/>
            <w:tcBorders>
              <w:top w:val="single" w:color="000000" w:sz="4" w:space="0"/>
              <w:left w:val="single" w:color="auto" w:sz="4" w:space="0"/>
              <w:bottom w:val="single" w:color="auto" w:sz="4" w:space="0"/>
              <w:right w:val="single" w:color="auto" w:sz="4" w:space="0"/>
            </w:tcBorders>
            <w:vAlign w:val="center"/>
          </w:tcPr>
          <w:p>
            <w:pPr>
              <w:snapToGrid w:val="0"/>
              <w:spacing w:line="320" w:lineRule="exact"/>
              <w:rPr>
                <w:rFonts w:ascii="仿宋_GB2312" w:hAnsi="楷体" w:eastAsia="仿宋_GB2312" w:cs="仿宋"/>
                <w:spacing w:val="-3"/>
                <w:kern w:val="0"/>
                <w:sz w:val="24"/>
                <w:szCs w:val="28"/>
                <w:lang w:bidi="zh-CN"/>
              </w:rPr>
            </w:pPr>
            <w:r>
              <w:rPr>
                <w:rFonts w:hint="eastAsia" w:ascii="仿宋_GB2312" w:hAnsi="楷体" w:eastAsia="仿宋_GB2312" w:cs="仿宋"/>
                <w:kern w:val="0"/>
                <w:sz w:val="24"/>
                <w:szCs w:val="28"/>
                <w:lang w:bidi="zh-CN"/>
              </w:rPr>
              <w:t>④</w:t>
            </w:r>
            <w:r>
              <w:rPr>
                <w:rFonts w:hint="eastAsia" w:ascii="仿宋_GB2312" w:hAnsi="楷体" w:eastAsia="仿宋_GB2312" w:cs="仿宋"/>
                <w:spacing w:val="-3"/>
                <w:kern w:val="0"/>
                <w:sz w:val="24"/>
                <w:szCs w:val="28"/>
                <w:lang w:bidi="zh-CN"/>
              </w:rPr>
              <w:t>边境、港口、码头、口岸、进口货物直接接触人员，民航等国际交通运输工具从业人员、船舶引航员等登临外籍船舶相关从业人员，移民、海关以及交通运输等相关工作人员等</w:t>
            </w:r>
          </w:p>
        </w:tc>
        <w:tc>
          <w:tcPr>
            <w:tcW w:w="1161" w:type="dxa"/>
            <w:tcBorders>
              <w:top w:val="single" w:color="000000" w:sz="4" w:space="0"/>
              <w:left w:val="single" w:color="auto"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rPr>
            </w:pPr>
            <w:r>
              <w:rPr>
                <w:rFonts w:hint="eastAsia" w:ascii="仿宋_GB2312" w:hAnsi="楷体" w:eastAsia="仿宋_GB2312" w:cs="仿宋"/>
                <w:sz w:val="24"/>
              </w:rPr>
              <w:t>□是□否</w:t>
            </w:r>
          </w:p>
        </w:tc>
        <w:tc>
          <w:tcPr>
            <w:tcW w:w="108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rPr>
            </w:pPr>
            <w:r>
              <w:rPr>
                <w:rFonts w:hint="eastAsia" w:ascii="仿宋_GB2312" w:hAnsi="楷体" w:eastAsia="仿宋_GB2312" w:cs="仿宋"/>
                <w:sz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34" w:type="dxa"/>
            <w:tcBorders>
              <w:top w:val="single" w:color="auto"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楷体" w:eastAsia="仿宋_GB2312" w:cs="仿宋"/>
                <w:spacing w:val="-3"/>
                <w:kern w:val="0"/>
                <w:sz w:val="24"/>
                <w:szCs w:val="28"/>
                <w:lang w:bidi="zh-CN"/>
              </w:rPr>
            </w:pPr>
            <w:r>
              <w:rPr>
                <w:rFonts w:hint="eastAsia" w:ascii="仿宋_GB2312" w:hAnsi="楷体" w:eastAsia="仿宋_GB2312" w:cs="仿宋"/>
                <w:spacing w:val="-3"/>
                <w:kern w:val="0"/>
                <w:sz w:val="24"/>
                <w:szCs w:val="28"/>
                <w:lang w:bidi="zh-CN"/>
              </w:rPr>
              <w:t>3. 纳入社区管理处于健康监测期的来自中高风险地区人员、解除医学观察人员、入境人员等。</w:t>
            </w:r>
          </w:p>
        </w:tc>
        <w:tc>
          <w:tcPr>
            <w:tcW w:w="1161"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rPr>
            </w:pPr>
            <w:r>
              <w:rPr>
                <w:rFonts w:hint="eastAsia" w:ascii="仿宋_GB2312" w:hAnsi="楷体" w:eastAsia="仿宋_GB2312" w:cs="仿宋"/>
                <w:sz w:val="24"/>
              </w:rPr>
              <w:t>□是□否</w:t>
            </w:r>
          </w:p>
        </w:tc>
        <w:tc>
          <w:tcPr>
            <w:tcW w:w="108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楷体" w:eastAsia="仿宋_GB2312" w:cs="黑体"/>
              </w:rPr>
            </w:pPr>
            <w:r>
              <w:rPr>
                <w:rFonts w:hint="eastAsia" w:ascii="仿宋_GB2312" w:hAnsi="楷体" w:eastAsia="仿宋_GB2312" w:cs="仿宋"/>
                <w:sz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18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黑体" w:hAnsi="黑体" w:eastAsia="黑体" w:cs="仿宋"/>
                <w:bCs/>
                <w:spacing w:val="-8"/>
                <w:kern w:val="0"/>
                <w:sz w:val="28"/>
                <w:szCs w:val="28"/>
                <w:lang w:bidi="zh-CN"/>
              </w:rPr>
            </w:pPr>
            <w:r>
              <w:rPr>
                <w:rFonts w:hint="eastAsia" w:ascii="黑体" w:hAnsi="黑体" w:eastAsia="黑体" w:cs="仿宋"/>
                <w:kern w:val="0"/>
                <w:sz w:val="24"/>
                <w:szCs w:val="28"/>
                <w:lang w:bidi="zh-CN"/>
              </w:rPr>
              <w:t>三、新冠肺炎相关症状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918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楷体" w:eastAsia="仿宋_GB2312" w:cs="仿宋"/>
                <w:spacing w:val="-3"/>
                <w:kern w:val="0"/>
                <w:sz w:val="24"/>
                <w:szCs w:val="28"/>
                <w:lang w:bidi="zh-CN"/>
              </w:rPr>
            </w:pPr>
            <w:r>
              <w:rPr>
                <w:rFonts w:hint="eastAsia" w:ascii="仿宋_GB2312" w:hAnsi="楷体" w:eastAsia="仿宋_GB2312" w:cs="仿宋"/>
                <w:spacing w:val="-3"/>
                <w:kern w:val="0"/>
                <w:sz w:val="24"/>
                <w:szCs w:val="28"/>
                <w:lang w:bidi="zh-CN"/>
              </w:rPr>
              <w:t>目前有，或者14天内有：</w:t>
            </w:r>
          </w:p>
          <w:p>
            <w:pPr>
              <w:snapToGrid w:val="0"/>
              <w:spacing w:line="320" w:lineRule="exact"/>
              <w:rPr>
                <w:rFonts w:ascii="仿宋_GB2312" w:hAnsi="楷体" w:eastAsia="仿宋_GB2312" w:cs="仿宋"/>
                <w:kern w:val="0"/>
                <w:sz w:val="24"/>
                <w:lang w:val="zh-CN" w:bidi="zh-CN"/>
              </w:rPr>
            </w:pPr>
            <w:r>
              <w:rPr>
                <w:rFonts w:hint="eastAsia" w:ascii="仿宋_GB2312" w:hAnsi="楷体" w:eastAsia="仿宋_GB2312" w:cs="仿宋"/>
                <w:spacing w:val="-3"/>
                <w:kern w:val="0"/>
                <w:sz w:val="24"/>
                <w:szCs w:val="28"/>
                <w:lang w:bidi="zh-CN"/>
              </w:rPr>
              <w:t>发热</w:t>
            </w:r>
            <w:r>
              <w:rPr>
                <w:rFonts w:hint="eastAsia" w:ascii="仿宋_GB2312" w:hAnsi="楷体" w:eastAsia="仿宋_GB2312" w:cs="仿宋"/>
                <w:kern w:val="0"/>
                <w:sz w:val="24"/>
                <w:lang w:val="zh-CN" w:bidi="zh-CN"/>
              </w:rPr>
              <w:t xml:space="preserve">□是□否 </w:t>
            </w:r>
            <w:r>
              <w:rPr>
                <w:rFonts w:hint="eastAsia" w:ascii="仿宋_GB2312" w:hAnsi="楷体" w:eastAsia="仿宋_GB2312" w:cs="仿宋"/>
                <w:spacing w:val="-3"/>
                <w:kern w:val="0"/>
                <w:sz w:val="24"/>
                <w:szCs w:val="28"/>
                <w:lang w:bidi="zh-CN"/>
              </w:rPr>
              <w:t>干咳</w:t>
            </w:r>
            <w:r>
              <w:rPr>
                <w:rFonts w:hint="eastAsia" w:ascii="仿宋_GB2312" w:hAnsi="楷体" w:eastAsia="仿宋_GB2312" w:cs="仿宋"/>
                <w:kern w:val="0"/>
                <w:sz w:val="24"/>
                <w:lang w:val="zh-CN" w:bidi="zh-CN"/>
              </w:rPr>
              <w:t xml:space="preserve">□是□否 </w:t>
            </w:r>
            <w:r>
              <w:rPr>
                <w:rFonts w:hint="eastAsia" w:ascii="仿宋_GB2312" w:hAnsi="楷体" w:eastAsia="仿宋_GB2312" w:cs="仿宋"/>
                <w:spacing w:val="-3"/>
                <w:kern w:val="0"/>
                <w:sz w:val="24"/>
                <w:szCs w:val="28"/>
                <w:lang w:bidi="zh-CN"/>
              </w:rPr>
              <w:t>乏力</w:t>
            </w:r>
            <w:r>
              <w:rPr>
                <w:rFonts w:hint="eastAsia" w:ascii="仿宋_GB2312" w:hAnsi="楷体" w:eastAsia="仿宋_GB2312" w:cs="仿宋"/>
                <w:kern w:val="0"/>
                <w:sz w:val="24"/>
                <w:lang w:val="zh-CN" w:bidi="zh-CN"/>
              </w:rPr>
              <w:t xml:space="preserve">□是□否 </w:t>
            </w:r>
            <w:r>
              <w:rPr>
                <w:rFonts w:hint="eastAsia" w:ascii="仿宋_GB2312" w:hAnsi="楷体" w:eastAsia="仿宋_GB2312" w:cs="仿宋"/>
                <w:spacing w:val="-3"/>
                <w:kern w:val="0"/>
                <w:sz w:val="24"/>
                <w:szCs w:val="28"/>
                <w:lang w:bidi="zh-CN"/>
              </w:rPr>
              <w:t>鼻塞</w:t>
            </w:r>
            <w:r>
              <w:rPr>
                <w:rFonts w:hint="eastAsia" w:ascii="仿宋_GB2312" w:hAnsi="楷体" w:eastAsia="仿宋_GB2312" w:cs="仿宋"/>
                <w:kern w:val="0"/>
                <w:sz w:val="24"/>
                <w:lang w:val="zh-CN" w:bidi="zh-CN"/>
              </w:rPr>
              <w:t xml:space="preserve">□是□否 </w:t>
            </w:r>
            <w:r>
              <w:rPr>
                <w:rFonts w:hint="eastAsia" w:ascii="仿宋_GB2312" w:hAnsi="楷体" w:eastAsia="仿宋_GB2312" w:cs="仿宋"/>
                <w:spacing w:val="-3"/>
                <w:kern w:val="0"/>
                <w:sz w:val="24"/>
                <w:szCs w:val="28"/>
                <w:lang w:bidi="zh-CN"/>
              </w:rPr>
              <w:t>流涕</w:t>
            </w:r>
            <w:r>
              <w:rPr>
                <w:rFonts w:hint="eastAsia" w:ascii="仿宋_GB2312" w:hAnsi="楷体" w:eastAsia="仿宋_GB2312" w:cs="仿宋"/>
                <w:kern w:val="0"/>
                <w:sz w:val="24"/>
                <w:lang w:val="zh-CN" w:bidi="zh-CN"/>
              </w:rPr>
              <w:t xml:space="preserve">□是□否 </w:t>
            </w:r>
            <w:r>
              <w:rPr>
                <w:rFonts w:hint="eastAsia" w:ascii="仿宋_GB2312" w:hAnsi="楷体" w:eastAsia="仿宋_GB2312" w:cs="仿宋"/>
                <w:spacing w:val="-3"/>
                <w:kern w:val="0"/>
                <w:sz w:val="24"/>
                <w:szCs w:val="28"/>
                <w:lang w:bidi="zh-CN"/>
              </w:rPr>
              <w:t>咽痛</w:t>
            </w:r>
            <w:r>
              <w:rPr>
                <w:rFonts w:hint="eastAsia" w:ascii="仿宋_GB2312" w:hAnsi="楷体" w:eastAsia="仿宋_GB2312" w:cs="仿宋"/>
                <w:kern w:val="0"/>
                <w:sz w:val="24"/>
                <w:lang w:val="zh-CN" w:bidi="zh-CN"/>
              </w:rPr>
              <w:t>□是□否</w:t>
            </w:r>
          </w:p>
          <w:p>
            <w:pPr>
              <w:snapToGrid w:val="0"/>
              <w:spacing w:line="320" w:lineRule="exact"/>
              <w:rPr>
                <w:rFonts w:ascii="仿宋_GB2312" w:hAnsi="楷体" w:eastAsia="仿宋_GB2312" w:cs="仿宋"/>
                <w:kern w:val="0"/>
                <w:sz w:val="28"/>
                <w:szCs w:val="28"/>
                <w:lang w:val="zh-CN" w:bidi="zh-CN"/>
              </w:rPr>
            </w:pPr>
            <w:r>
              <w:rPr>
                <w:rFonts w:hint="eastAsia" w:ascii="仿宋_GB2312" w:hAnsi="楷体" w:eastAsia="仿宋_GB2312" w:cs="仿宋"/>
                <w:spacing w:val="-3"/>
                <w:kern w:val="0"/>
                <w:sz w:val="24"/>
                <w:szCs w:val="28"/>
                <w:lang w:bidi="zh-CN"/>
              </w:rPr>
              <w:t>肌痛</w:t>
            </w:r>
            <w:r>
              <w:rPr>
                <w:rFonts w:hint="eastAsia" w:ascii="仿宋_GB2312" w:hAnsi="楷体" w:eastAsia="仿宋_GB2312" w:cs="仿宋"/>
                <w:kern w:val="0"/>
                <w:sz w:val="24"/>
                <w:lang w:val="zh-CN" w:bidi="zh-CN"/>
              </w:rPr>
              <w:t xml:space="preserve">□是□否 </w:t>
            </w:r>
            <w:r>
              <w:rPr>
                <w:rFonts w:hint="eastAsia" w:ascii="仿宋_GB2312" w:hAnsi="楷体" w:eastAsia="仿宋_GB2312" w:cs="仿宋"/>
                <w:spacing w:val="-3"/>
                <w:kern w:val="0"/>
                <w:sz w:val="24"/>
                <w:szCs w:val="28"/>
                <w:lang w:bidi="zh-CN"/>
              </w:rPr>
              <w:t>结膜炎</w:t>
            </w:r>
            <w:r>
              <w:rPr>
                <w:rFonts w:hint="eastAsia" w:ascii="仿宋_GB2312" w:hAnsi="楷体" w:eastAsia="仿宋_GB2312" w:cs="仿宋"/>
                <w:kern w:val="0"/>
                <w:sz w:val="24"/>
                <w:lang w:val="zh-CN" w:bidi="zh-CN"/>
              </w:rPr>
              <w:t xml:space="preserve">□是□否 </w:t>
            </w:r>
            <w:r>
              <w:rPr>
                <w:rFonts w:hint="eastAsia" w:ascii="仿宋_GB2312" w:hAnsi="楷体" w:eastAsia="仿宋_GB2312" w:cs="仿宋"/>
                <w:spacing w:val="-3"/>
                <w:kern w:val="0"/>
                <w:sz w:val="24"/>
                <w:szCs w:val="28"/>
                <w:lang w:bidi="zh-CN"/>
              </w:rPr>
              <w:t>腹泻</w:t>
            </w:r>
            <w:r>
              <w:rPr>
                <w:rFonts w:hint="eastAsia" w:ascii="仿宋_GB2312" w:hAnsi="楷体" w:eastAsia="仿宋_GB2312" w:cs="仿宋"/>
                <w:kern w:val="0"/>
                <w:sz w:val="24"/>
                <w:lang w:val="zh-CN" w:bidi="zh-CN"/>
              </w:rPr>
              <w:t xml:space="preserve">□是□否 </w:t>
            </w:r>
            <w:r>
              <w:rPr>
                <w:rFonts w:hint="eastAsia" w:ascii="仿宋_GB2312" w:hAnsi="楷体" w:eastAsia="仿宋_GB2312" w:cs="仿宋"/>
                <w:spacing w:val="-3"/>
                <w:kern w:val="0"/>
                <w:sz w:val="24"/>
                <w:szCs w:val="28"/>
                <w:lang w:bidi="zh-CN"/>
              </w:rPr>
              <w:t>嗅（味）觉减退（丧失）</w:t>
            </w:r>
            <w:r>
              <w:rPr>
                <w:rFonts w:hint="eastAsia" w:ascii="仿宋_GB2312" w:hAnsi="楷体" w:eastAsia="仿宋_GB2312" w:cs="仿宋"/>
                <w:kern w:val="0"/>
                <w:sz w:val="24"/>
                <w:lang w:val="zh-CN" w:bidi="zh-CN"/>
              </w:rPr>
              <w:t>□是□否</w:t>
            </w:r>
          </w:p>
        </w:tc>
      </w:tr>
    </w:tbl>
    <w:p>
      <w:pPr>
        <w:tabs>
          <w:tab w:val="left" w:pos="2040"/>
        </w:tabs>
        <w:snapToGrid w:val="0"/>
        <w:spacing w:before="120"/>
        <w:ind w:right="58" w:firstLine="420" w:firstLineChars="150"/>
        <w:jc w:val="left"/>
        <w:rPr>
          <w:rFonts w:ascii="楷体" w:hAnsi="楷体" w:eastAsia="楷体" w:cs="黑体"/>
          <w:spacing w:val="-14"/>
          <w:sz w:val="28"/>
          <w:szCs w:val="28"/>
        </w:rPr>
      </w:pPr>
      <w:r>
        <w:rPr>
          <w:rFonts w:hint="eastAsia" w:ascii="楷体" w:hAnsi="楷体" w:eastAsia="楷体" w:cs="黑体"/>
          <w:sz w:val="28"/>
          <w:szCs w:val="28"/>
        </w:rPr>
        <w:t>请确认上述情况属实</w:t>
      </w:r>
      <w:r>
        <w:rPr>
          <w:rFonts w:hint="eastAsia" w:ascii="楷体" w:hAnsi="楷体" w:eastAsia="楷体" w:cs="黑体"/>
          <w:spacing w:val="-44"/>
          <w:sz w:val="28"/>
          <w:szCs w:val="28"/>
        </w:rPr>
        <w:t>。</w:t>
      </w:r>
      <w:r>
        <w:rPr>
          <w:rFonts w:hint="eastAsia" w:ascii="楷体" w:hAnsi="楷体" w:eastAsia="楷体" w:cs="黑体"/>
          <w:sz w:val="28"/>
          <w:szCs w:val="28"/>
        </w:rPr>
        <w:t>根</w:t>
      </w:r>
      <w:r>
        <w:rPr>
          <w:rFonts w:hint="eastAsia" w:ascii="楷体" w:hAnsi="楷体" w:eastAsia="楷体" w:cs="黑体"/>
          <w:spacing w:val="-44"/>
          <w:sz w:val="28"/>
          <w:szCs w:val="28"/>
        </w:rPr>
        <w:t>据</w:t>
      </w:r>
      <w:r>
        <w:rPr>
          <w:rFonts w:hint="eastAsia" w:ascii="楷体" w:hAnsi="楷体" w:eastAsia="楷体" w:cs="黑体"/>
          <w:sz w:val="28"/>
          <w:szCs w:val="28"/>
        </w:rPr>
        <w:t>《传染病防治法</w:t>
      </w:r>
      <w:r>
        <w:rPr>
          <w:rFonts w:hint="eastAsia" w:ascii="楷体" w:hAnsi="楷体" w:eastAsia="楷体" w:cs="黑体"/>
          <w:spacing w:val="-41"/>
          <w:sz w:val="28"/>
          <w:szCs w:val="28"/>
        </w:rPr>
        <w:t>》</w:t>
      </w:r>
      <w:r>
        <w:rPr>
          <w:rFonts w:hint="eastAsia" w:ascii="楷体" w:hAnsi="楷体" w:eastAsia="楷体" w:cs="黑体"/>
          <w:sz w:val="28"/>
          <w:szCs w:val="28"/>
        </w:rPr>
        <w:t>及疫情防控要求</w:t>
      </w:r>
      <w:r>
        <w:rPr>
          <w:rFonts w:hint="eastAsia" w:ascii="楷体" w:hAnsi="楷体" w:eastAsia="楷体" w:cs="黑体"/>
          <w:spacing w:val="-44"/>
          <w:sz w:val="28"/>
          <w:szCs w:val="28"/>
        </w:rPr>
        <w:t>，</w:t>
      </w:r>
      <w:r>
        <w:rPr>
          <w:rFonts w:hint="eastAsia" w:ascii="楷体" w:hAnsi="楷体" w:eastAsia="楷体" w:cs="黑体"/>
          <w:sz w:val="28"/>
          <w:szCs w:val="28"/>
        </w:rPr>
        <w:t>不如实提供信息将承担相应法律责任</w:t>
      </w:r>
      <w:r>
        <w:rPr>
          <w:rFonts w:hint="eastAsia" w:ascii="楷体" w:hAnsi="楷体" w:eastAsia="楷体" w:cs="黑体"/>
          <w:spacing w:val="-14"/>
          <w:sz w:val="28"/>
          <w:szCs w:val="28"/>
        </w:rPr>
        <w:t>。</w:t>
      </w:r>
    </w:p>
    <w:p>
      <w:pPr>
        <w:tabs>
          <w:tab w:val="left" w:pos="2040"/>
        </w:tabs>
        <w:wordWrap w:val="0"/>
        <w:snapToGrid w:val="0"/>
        <w:spacing w:before="120"/>
        <w:ind w:right="228"/>
        <w:jc w:val="right"/>
        <w:rPr>
          <w:b/>
        </w:rPr>
      </w:pPr>
      <w:r>
        <w:rPr>
          <w:rFonts w:hint="eastAsia"/>
        </w:rPr>
        <w:t xml:space="preserve">签名：           日期：     年     月   </w:t>
      </w:r>
      <w:r>
        <w:rPr>
          <w:rFonts w:hint="eastAsia"/>
          <w:b/>
        </w:rPr>
        <w:t xml:space="preserve"> </w:t>
      </w:r>
    </w:p>
    <w:p>
      <w:pPr>
        <w:spacing w:line="480" w:lineRule="exact"/>
        <w:ind w:firstLine="480" w:firstLineChars="200"/>
        <w:rPr>
          <w:sz w:val="24"/>
        </w:rPr>
      </w:pPr>
    </w:p>
    <w:sectPr>
      <w:pgSz w:w="11907" w:h="16840"/>
      <w:pgMar w:top="737" w:right="1021" w:bottom="73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27BB8"/>
    <w:multiLevelType w:val="multilevel"/>
    <w:tmpl w:val="06B27BB8"/>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0ODQzNjFlYzJlYTZiYmU5MGRiNjkyNzgyMzczNmYifQ=="/>
  </w:docVars>
  <w:rsids>
    <w:rsidRoot w:val="00D87786"/>
    <w:rsid w:val="00003C75"/>
    <w:rsid w:val="000131E1"/>
    <w:rsid w:val="00013E31"/>
    <w:rsid w:val="00026CA3"/>
    <w:rsid w:val="000408C9"/>
    <w:rsid w:val="00051154"/>
    <w:rsid w:val="000519D4"/>
    <w:rsid w:val="0005286E"/>
    <w:rsid w:val="00075A9A"/>
    <w:rsid w:val="0008603F"/>
    <w:rsid w:val="000916E5"/>
    <w:rsid w:val="0009535F"/>
    <w:rsid w:val="000A0601"/>
    <w:rsid w:val="000D68EC"/>
    <w:rsid w:val="000E0F5F"/>
    <w:rsid w:val="000E1228"/>
    <w:rsid w:val="000E1AE3"/>
    <w:rsid w:val="000E3E26"/>
    <w:rsid w:val="00111E63"/>
    <w:rsid w:val="00126075"/>
    <w:rsid w:val="00130251"/>
    <w:rsid w:val="00142040"/>
    <w:rsid w:val="0015001B"/>
    <w:rsid w:val="00160782"/>
    <w:rsid w:val="0017631E"/>
    <w:rsid w:val="00177AC7"/>
    <w:rsid w:val="00192CA5"/>
    <w:rsid w:val="001A4768"/>
    <w:rsid w:val="001B22E2"/>
    <w:rsid w:val="001C3E08"/>
    <w:rsid w:val="00217260"/>
    <w:rsid w:val="0023681B"/>
    <w:rsid w:val="00246480"/>
    <w:rsid w:val="002611CA"/>
    <w:rsid w:val="00261723"/>
    <w:rsid w:val="00282CA4"/>
    <w:rsid w:val="00292188"/>
    <w:rsid w:val="002A3981"/>
    <w:rsid w:val="002E1A76"/>
    <w:rsid w:val="002E1AA9"/>
    <w:rsid w:val="003162D6"/>
    <w:rsid w:val="00320090"/>
    <w:rsid w:val="00320BD4"/>
    <w:rsid w:val="00320D8A"/>
    <w:rsid w:val="00345532"/>
    <w:rsid w:val="00357BCB"/>
    <w:rsid w:val="00363C87"/>
    <w:rsid w:val="00375DE7"/>
    <w:rsid w:val="003979D0"/>
    <w:rsid w:val="003A458C"/>
    <w:rsid w:val="003B146D"/>
    <w:rsid w:val="003B7139"/>
    <w:rsid w:val="003C0B42"/>
    <w:rsid w:val="003D308A"/>
    <w:rsid w:val="003D6C7E"/>
    <w:rsid w:val="00405E1C"/>
    <w:rsid w:val="0041029D"/>
    <w:rsid w:val="00421309"/>
    <w:rsid w:val="00432B7B"/>
    <w:rsid w:val="0043383D"/>
    <w:rsid w:val="00440937"/>
    <w:rsid w:val="00446A70"/>
    <w:rsid w:val="00447EC2"/>
    <w:rsid w:val="00461539"/>
    <w:rsid w:val="0048596F"/>
    <w:rsid w:val="004A22DF"/>
    <w:rsid w:val="004C3CCF"/>
    <w:rsid w:val="004C4BB8"/>
    <w:rsid w:val="004D0D4A"/>
    <w:rsid w:val="004D192D"/>
    <w:rsid w:val="004D7E69"/>
    <w:rsid w:val="004E367E"/>
    <w:rsid w:val="00505C50"/>
    <w:rsid w:val="00506585"/>
    <w:rsid w:val="00520B34"/>
    <w:rsid w:val="00534ECF"/>
    <w:rsid w:val="00570ECC"/>
    <w:rsid w:val="00574DE2"/>
    <w:rsid w:val="00576903"/>
    <w:rsid w:val="00581F19"/>
    <w:rsid w:val="00596C6E"/>
    <w:rsid w:val="005C4912"/>
    <w:rsid w:val="005E2637"/>
    <w:rsid w:val="005F3922"/>
    <w:rsid w:val="00601632"/>
    <w:rsid w:val="006030F2"/>
    <w:rsid w:val="006330EC"/>
    <w:rsid w:val="00633B5B"/>
    <w:rsid w:val="0064565A"/>
    <w:rsid w:val="006528EB"/>
    <w:rsid w:val="0065743F"/>
    <w:rsid w:val="006938D4"/>
    <w:rsid w:val="006942BF"/>
    <w:rsid w:val="0069571B"/>
    <w:rsid w:val="006C48A2"/>
    <w:rsid w:val="006C6A03"/>
    <w:rsid w:val="006C788C"/>
    <w:rsid w:val="006D0038"/>
    <w:rsid w:val="006E3E0A"/>
    <w:rsid w:val="006E7777"/>
    <w:rsid w:val="006F0166"/>
    <w:rsid w:val="006F04E8"/>
    <w:rsid w:val="006F4959"/>
    <w:rsid w:val="00705AA0"/>
    <w:rsid w:val="00761D3A"/>
    <w:rsid w:val="00771204"/>
    <w:rsid w:val="007736FA"/>
    <w:rsid w:val="00782D0D"/>
    <w:rsid w:val="00796FB0"/>
    <w:rsid w:val="007A064E"/>
    <w:rsid w:val="007B479F"/>
    <w:rsid w:val="007C20C0"/>
    <w:rsid w:val="007F26D0"/>
    <w:rsid w:val="0080317D"/>
    <w:rsid w:val="0080658C"/>
    <w:rsid w:val="00814EC5"/>
    <w:rsid w:val="00824424"/>
    <w:rsid w:val="00833911"/>
    <w:rsid w:val="00840E86"/>
    <w:rsid w:val="00852B89"/>
    <w:rsid w:val="00864CFD"/>
    <w:rsid w:val="00885B06"/>
    <w:rsid w:val="008C352E"/>
    <w:rsid w:val="008C53CA"/>
    <w:rsid w:val="008F7F58"/>
    <w:rsid w:val="009056E4"/>
    <w:rsid w:val="00907A64"/>
    <w:rsid w:val="00907F51"/>
    <w:rsid w:val="00924561"/>
    <w:rsid w:val="009419DD"/>
    <w:rsid w:val="00963111"/>
    <w:rsid w:val="00992B2D"/>
    <w:rsid w:val="009A1D95"/>
    <w:rsid w:val="009C009E"/>
    <w:rsid w:val="009F53EF"/>
    <w:rsid w:val="00A1514E"/>
    <w:rsid w:val="00A24EEA"/>
    <w:rsid w:val="00A43101"/>
    <w:rsid w:val="00A525AF"/>
    <w:rsid w:val="00A73FD7"/>
    <w:rsid w:val="00A76EB8"/>
    <w:rsid w:val="00A901C4"/>
    <w:rsid w:val="00A943D0"/>
    <w:rsid w:val="00A95316"/>
    <w:rsid w:val="00A9652F"/>
    <w:rsid w:val="00AC1DA8"/>
    <w:rsid w:val="00AD1B1F"/>
    <w:rsid w:val="00AE7137"/>
    <w:rsid w:val="00B111D6"/>
    <w:rsid w:val="00B1142B"/>
    <w:rsid w:val="00B20DAD"/>
    <w:rsid w:val="00B2458D"/>
    <w:rsid w:val="00B31AC1"/>
    <w:rsid w:val="00B367CA"/>
    <w:rsid w:val="00B41DC0"/>
    <w:rsid w:val="00B87E6B"/>
    <w:rsid w:val="00BA53F5"/>
    <w:rsid w:val="00BA61E7"/>
    <w:rsid w:val="00BC2807"/>
    <w:rsid w:val="00BD5D18"/>
    <w:rsid w:val="00BE0FA7"/>
    <w:rsid w:val="00BE197F"/>
    <w:rsid w:val="00BF0B6F"/>
    <w:rsid w:val="00C37EE9"/>
    <w:rsid w:val="00C43B5B"/>
    <w:rsid w:val="00C44263"/>
    <w:rsid w:val="00C6260A"/>
    <w:rsid w:val="00C85AC9"/>
    <w:rsid w:val="00C91683"/>
    <w:rsid w:val="00CA49A9"/>
    <w:rsid w:val="00CA67AB"/>
    <w:rsid w:val="00CE42F3"/>
    <w:rsid w:val="00CE66EC"/>
    <w:rsid w:val="00CE6CC6"/>
    <w:rsid w:val="00CF1233"/>
    <w:rsid w:val="00D10EE9"/>
    <w:rsid w:val="00D21894"/>
    <w:rsid w:val="00D44530"/>
    <w:rsid w:val="00D474FB"/>
    <w:rsid w:val="00D87786"/>
    <w:rsid w:val="00D92F71"/>
    <w:rsid w:val="00DA0B2E"/>
    <w:rsid w:val="00DA264B"/>
    <w:rsid w:val="00DB11E3"/>
    <w:rsid w:val="00DD1BC9"/>
    <w:rsid w:val="00DD3A24"/>
    <w:rsid w:val="00DE68DE"/>
    <w:rsid w:val="00E137B8"/>
    <w:rsid w:val="00E342A4"/>
    <w:rsid w:val="00E47303"/>
    <w:rsid w:val="00E70FD1"/>
    <w:rsid w:val="00E87C03"/>
    <w:rsid w:val="00EA684A"/>
    <w:rsid w:val="00EC7634"/>
    <w:rsid w:val="00F03012"/>
    <w:rsid w:val="00F03F04"/>
    <w:rsid w:val="00F120A8"/>
    <w:rsid w:val="00F16C9A"/>
    <w:rsid w:val="00F509F2"/>
    <w:rsid w:val="00F517B1"/>
    <w:rsid w:val="00F64F69"/>
    <w:rsid w:val="00F92C86"/>
    <w:rsid w:val="00F934EC"/>
    <w:rsid w:val="00FA46D6"/>
    <w:rsid w:val="00FB168B"/>
    <w:rsid w:val="00FB31DE"/>
    <w:rsid w:val="00FC2297"/>
    <w:rsid w:val="00FD5945"/>
    <w:rsid w:val="00FD7D6E"/>
    <w:rsid w:val="00FE45BE"/>
    <w:rsid w:val="00FE600D"/>
    <w:rsid w:val="01C25CDA"/>
    <w:rsid w:val="01D95455"/>
    <w:rsid w:val="042D17DC"/>
    <w:rsid w:val="0C022D96"/>
    <w:rsid w:val="101B3935"/>
    <w:rsid w:val="11532DEF"/>
    <w:rsid w:val="152466FE"/>
    <w:rsid w:val="15AC59B8"/>
    <w:rsid w:val="1EE715B7"/>
    <w:rsid w:val="23D10DF0"/>
    <w:rsid w:val="2403004D"/>
    <w:rsid w:val="25CC0291"/>
    <w:rsid w:val="26974DDD"/>
    <w:rsid w:val="2EFD1467"/>
    <w:rsid w:val="3FF17048"/>
    <w:rsid w:val="449432A7"/>
    <w:rsid w:val="44A60DA1"/>
    <w:rsid w:val="453360D1"/>
    <w:rsid w:val="45B103C1"/>
    <w:rsid w:val="4AC35451"/>
    <w:rsid w:val="4E784B18"/>
    <w:rsid w:val="55B63A09"/>
    <w:rsid w:val="57BA01A7"/>
    <w:rsid w:val="5B110BB9"/>
    <w:rsid w:val="5B1860FF"/>
    <w:rsid w:val="6A91221B"/>
    <w:rsid w:val="6BB94531"/>
    <w:rsid w:val="6C3F1694"/>
    <w:rsid w:val="6F034763"/>
    <w:rsid w:val="721B0F2B"/>
    <w:rsid w:val="75954111"/>
    <w:rsid w:val="76454B7E"/>
    <w:rsid w:val="78D70EAF"/>
    <w:rsid w:val="7A074E5D"/>
    <w:rsid w:val="7A9A4913"/>
    <w:rsid w:val="7B2F2B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34"/>
    <w:qFormat/>
    <w:uiPriority w:val="0"/>
    <w:pPr>
      <w:tabs>
        <w:tab w:val="center" w:pos="4153"/>
        <w:tab w:val="right" w:pos="8306"/>
      </w:tabs>
      <w:snapToGrid w:val="0"/>
      <w:jc w:val="left"/>
    </w:pPr>
    <w:rPr>
      <w:sz w:val="18"/>
      <w:szCs w:val="18"/>
    </w:rPr>
  </w:style>
  <w:style w:type="paragraph" w:styleId="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FollowedHyperlink"/>
    <w:basedOn w:val="8"/>
    <w:qFormat/>
    <w:uiPriority w:val="0"/>
    <w:rPr>
      <w:color w:val="800080" w:themeColor="followedHyperlink"/>
      <w:u w:val="single"/>
    </w:rPr>
  </w:style>
  <w:style w:type="character" w:styleId="11">
    <w:name w:val="Hyperlink"/>
    <w:basedOn w:val="8"/>
    <w:qFormat/>
    <w:uiPriority w:val="0"/>
    <w:rPr>
      <w:color w:val="0000FF" w:themeColor="hyperlink"/>
      <w:u w:val="single"/>
    </w:rPr>
  </w:style>
  <w:style w:type="paragraph" w:customStyle="1" w:styleId="1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
    <w:name w:val="font6"/>
    <w:basedOn w:val="1"/>
    <w:qFormat/>
    <w:uiPriority w:val="0"/>
    <w:pPr>
      <w:widowControl/>
      <w:spacing w:before="100" w:beforeAutospacing="1" w:after="100" w:afterAutospacing="1"/>
      <w:jc w:val="left"/>
    </w:pPr>
    <w:rPr>
      <w:rFonts w:hint="eastAsia" w:ascii="宋体" w:hAnsi="宋体"/>
      <w:kern w:val="0"/>
      <w:sz w:val="26"/>
      <w:szCs w:val="26"/>
    </w:rPr>
  </w:style>
  <w:style w:type="paragraph" w:customStyle="1" w:styleId="14">
    <w:name w:val="font7"/>
    <w:basedOn w:val="1"/>
    <w:qFormat/>
    <w:uiPriority w:val="0"/>
    <w:pPr>
      <w:widowControl/>
      <w:spacing w:before="100" w:beforeAutospacing="1" w:after="100" w:afterAutospacing="1"/>
      <w:jc w:val="left"/>
    </w:pPr>
    <w:rPr>
      <w:rFonts w:ascii="Arial" w:hAnsi="Arial" w:cs="Arial"/>
      <w:kern w:val="0"/>
      <w:sz w:val="26"/>
      <w:szCs w:val="26"/>
    </w:rPr>
  </w:style>
  <w:style w:type="paragraph" w:customStyle="1" w:styleId="15">
    <w:name w:val="font8"/>
    <w:basedOn w:val="1"/>
    <w:qFormat/>
    <w:uiPriority w:val="0"/>
    <w:pPr>
      <w:widowControl/>
      <w:spacing w:before="100" w:beforeAutospacing="1" w:after="100" w:afterAutospacing="1"/>
      <w:jc w:val="left"/>
    </w:pPr>
    <w:rPr>
      <w:rFonts w:hint="eastAsia" w:ascii="宋体" w:hAnsi="宋体"/>
      <w:b/>
      <w:bCs/>
      <w:kern w:val="0"/>
      <w:sz w:val="28"/>
      <w:szCs w:val="28"/>
    </w:rPr>
  </w:style>
  <w:style w:type="paragraph" w:customStyle="1" w:styleId="16">
    <w:name w:val="xl2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6"/>
      <w:szCs w:val="26"/>
    </w:rPr>
  </w:style>
  <w:style w:type="paragraph" w:customStyle="1" w:styleId="17">
    <w:name w:val="xl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6"/>
      <w:szCs w:val="26"/>
    </w:rPr>
  </w:style>
  <w:style w:type="paragraph" w:customStyle="1" w:styleId="18">
    <w:name w:val="xl2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6"/>
      <w:szCs w:val="26"/>
    </w:rPr>
  </w:style>
  <w:style w:type="paragraph" w:customStyle="1" w:styleId="1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6"/>
      <w:szCs w:val="26"/>
    </w:rPr>
  </w:style>
  <w:style w:type="paragraph" w:customStyle="1" w:styleId="2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6"/>
      <w:szCs w:val="26"/>
    </w:rPr>
  </w:style>
  <w:style w:type="paragraph" w:customStyle="1" w:styleId="2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6"/>
      <w:szCs w:val="26"/>
    </w:rPr>
  </w:style>
  <w:style w:type="paragraph" w:customStyle="1" w:styleId="22">
    <w:name w:val="xl3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kern w:val="0"/>
      <w:sz w:val="26"/>
      <w:szCs w:val="26"/>
    </w:rPr>
  </w:style>
  <w:style w:type="paragraph" w:customStyle="1" w:styleId="23">
    <w:name w:val="xl3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6"/>
      <w:szCs w:val="26"/>
    </w:rPr>
  </w:style>
  <w:style w:type="paragraph" w:customStyle="1" w:styleId="24">
    <w:name w:val="xl3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6"/>
      <w:szCs w:val="26"/>
    </w:rPr>
  </w:style>
  <w:style w:type="paragraph" w:customStyle="1" w:styleId="25">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6"/>
      <w:szCs w:val="26"/>
    </w:rPr>
  </w:style>
  <w:style w:type="paragraph" w:customStyle="1" w:styleId="26">
    <w:name w:val="xl3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kern w:val="0"/>
      <w:sz w:val="26"/>
      <w:szCs w:val="26"/>
    </w:rPr>
  </w:style>
  <w:style w:type="paragraph" w:customStyle="1" w:styleId="27">
    <w:name w:val="xl36"/>
    <w:basedOn w:val="1"/>
    <w:qFormat/>
    <w:uiPriority w:val="0"/>
    <w:pPr>
      <w:widowControl/>
      <w:spacing w:before="100" w:beforeAutospacing="1" w:after="100" w:afterAutospacing="1"/>
      <w:jc w:val="center"/>
    </w:pPr>
    <w:rPr>
      <w:kern w:val="0"/>
      <w:sz w:val="26"/>
      <w:szCs w:val="26"/>
    </w:rPr>
  </w:style>
  <w:style w:type="paragraph" w:customStyle="1" w:styleId="28">
    <w:name w:val="xl3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26"/>
      <w:szCs w:val="26"/>
    </w:rPr>
  </w:style>
  <w:style w:type="paragraph" w:customStyle="1" w:styleId="29">
    <w:name w:val="xl3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26"/>
      <w:szCs w:val="26"/>
    </w:rPr>
  </w:style>
  <w:style w:type="paragraph" w:customStyle="1" w:styleId="30">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6"/>
      <w:szCs w:val="26"/>
    </w:rPr>
  </w:style>
  <w:style w:type="paragraph" w:customStyle="1" w:styleId="31">
    <w:name w:val="xl4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kern w:val="0"/>
      <w:sz w:val="26"/>
      <w:szCs w:val="26"/>
    </w:rPr>
  </w:style>
  <w:style w:type="paragraph" w:customStyle="1" w:styleId="32">
    <w:name w:val="xl41"/>
    <w:basedOn w:val="1"/>
    <w:qFormat/>
    <w:uiPriority w:val="0"/>
    <w:pPr>
      <w:widowControl/>
      <w:spacing w:before="100" w:beforeAutospacing="1" w:after="100" w:afterAutospacing="1"/>
      <w:jc w:val="center"/>
    </w:pPr>
    <w:rPr>
      <w:b/>
      <w:bCs/>
      <w:kern w:val="0"/>
      <w:sz w:val="28"/>
      <w:szCs w:val="28"/>
    </w:rPr>
  </w:style>
  <w:style w:type="character" w:customStyle="1" w:styleId="33">
    <w:name w:val="页眉 Char"/>
    <w:basedOn w:val="8"/>
    <w:link w:val="5"/>
    <w:qFormat/>
    <w:uiPriority w:val="0"/>
    <w:rPr>
      <w:kern w:val="2"/>
      <w:sz w:val="18"/>
      <w:szCs w:val="18"/>
    </w:rPr>
  </w:style>
  <w:style w:type="character" w:customStyle="1" w:styleId="34">
    <w:name w:val="页脚 Char"/>
    <w:basedOn w:val="8"/>
    <w:link w:val="4"/>
    <w:qFormat/>
    <w:uiPriority w:val="0"/>
    <w:rPr>
      <w:kern w:val="2"/>
      <w:sz w:val="18"/>
      <w:szCs w:val="18"/>
    </w:rPr>
  </w:style>
  <w:style w:type="paragraph" w:styleId="35">
    <w:name w:val="List Paragraph"/>
    <w:basedOn w:val="1"/>
    <w:qFormat/>
    <w:uiPriority w:val="34"/>
    <w:pPr>
      <w:ind w:firstLine="420" w:firstLineChars="200"/>
    </w:pPr>
  </w:style>
  <w:style w:type="paragraph" w:customStyle="1" w:styleId="3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jwk</Company>
  <Pages>4</Pages>
  <Words>3257</Words>
  <Characters>3511</Characters>
  <Lines>28</Lines>
  <Paragraphs>7</Paragraphs>
  <TotalTime>339</TotalTime>
  <ScaleCrop>false</ScaleCrop>
  <LinksUpToDate>false</LinksUpToDate>
  <CharactersWithSpaces>3728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2022-06-01T06:52:00Z</dcterms:created>
  <dc:creator>zsj</dc:creator>
  <cp:lastModifiedBy>丽人</cp:lastModifiedBy>
  <cp:lastPrinted>2020-06-30T08:08:00Z</cp:lastPrinted>
  <dcterms:modified xsi:type="dcterms:W3CDTF">2022-06-06T07:53:41Z</dcterms:modified>
  <dc:title>辽宁石油化工大学2003年专升本考试说明</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9390025A69F947BAB1AB8C58DE2CE6B7</vt:lpwstr>
  </property>
</Properties>
</file>